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B12C32" w14:textId="662342B3" w:rsidR="004F258A" w:rsidRPr="0043193C" w:rsidRDefault="005A1F12" w:rsidP="004F258A">
      <w:pPr>
        <w:pStyle w:val="Title"/>
        <w:spacing w:line="240" w:lineRule="auto"/>
        <w:rPr>
          <w:sz w:val="24"/>
          <w:szCs w:val="24"/>
        </w:rPr>
      </w:pPr>
      <w:r w:rsidRPr="0043193C">
        <w:rPr>
          <w:sz w:val="24"/>
          <w:szCs w:val="24"/>
        </w:rPr>
        <w:t>Title</w:t>
      </w:r>
      <w:r w:rsidR="00F471A3" w:rsidRPr="0043193C">
        <w:rPr>
          <w:sz w:val="24"/>
          <w:szCs w:val="24"/>
        </w:rPr>
        <w:t xml:space="preserve"> in Title Case </w:t>
      </w:r>
      <w:r w:rsidR="003E4979" w:rsidRPr="0043193C">
        <w:rPr>
          <w:sz w:val="24"/>
          <w:szCs w:val="24"/>
        </w:rPr>
        <w:t>(Times New Roman</w:t>
      </w:r>
      <w:r w:rsidR="007D3A40" w:rsidRPr="0043193C">
        <w:rPr>
          <w:sz w:val="24"/>
          <w:szCs w:val="24"/>
        </w:rPr>
        <w:t xml:space="preserve"> </w:t>
      </w:r>
      <w:r w:rsidR="00677182" w:rsidRPr="0043193C">
        <w:rPr>
          <w:sz w:val="24"/>
          <w:szCs w:val="24"/>
        </w:rPr>
        <w:t xml:space="preserve">bold </w:t>
      </w:r>
      <w:r w:rsidR="00D54BB9" w:rsidRPr="0043193C">
        <w:rPr>
          <w:sz w:val="24"/>
          <w:szCs w:val="24"/>
        </w:rPr>
        <w:t xml:space="preserve">12 </w:t>
      </w:r>
      <w:r w:rsidR="007D3A40" w:rsidRPr="0043193C">
        <w:rPr>
          <w:sz w:val="24"/>
          <w:szCs w:val="24"/>
        </w:rPr>
        <w:t>font</w:t>
      </w:r>
      <w:r w:rsidR="003E4979" w:rsidRPr="0043193C">
        <w:rPr>
          <w:sz w:val="24"/>
          <w:szCs w:val="24"/>
        </w:rPr>
        <w:t>)</w:t>
      </w:r>
    </w:p>
    <w:p w14:paraId="30311715" w14:textId="39731862" w:rsidR="00593AA9" w:rsidRPr="0043193C" w:rsidRDefault="00593AA9" w:rsidP="004F258A">
      <w:pPr>
        <w:pStyle w:val="Authors"/>
        <w:spacing w:line="240" w:lineRule="auto"/>
        <w:rPr>
          <w:sz w:val="22"/>
          <w:szCs w:val="22"/>
          <w:vertAlign w:val="superscript"/>
        </w:rPr>
      </w:pPr>
      <w:r w:rsidRPr="0043193C">
        <w:rPr>
          <w:sz w:val="22"/>
          <w:szCs w:val="22"/>
        </w:rPr>
        <w:t xml:space="preserve">by </w:t>
      </w:r>
      <w:r w:rsidR="00AE5017" w:rsidRPr="0043193C">
        <w:rPr>
          <w:i/>
          <w:iCs/>
          <w:sz w:val="22"/>
          <w:szCs w:val="22"/>
        </w:rPr>
        <w:t>Name</w:t>
      </w:r>
      <w:r w:rsidR="005A1F12" w:rsidRPr="0043193C">
        <w:rPr>
          <w:i/>
          <w:iCs/>
          <w:sz w:val="22"/>
          <w:szCs w:val="22"/>
        </w:rPr>
        <w:t xml:space="preserve"> </w:t>
      </w:r>
      <w:r w:rsidR="00CA6F06" w:rsidRPr="0043193C">
        <w:rPr>
          <w:i/>
          <w:iCs/>
          <w:sz w:val="22"/>
          <w:szCs w:val="22"/>
        </w:rPr>
        <w:t>A</w:t>
      </w:r>
      <w:r w:rsidR="008E7BEF" w:rsidRPr="0043193C">
        <w:rPr>
          <w:i/>
          <w:iCs/>
          <w:sz w:val="22"/>
          <w:szCs w:val="22"/>
        </w:rPr>
        <w:t>utor</w:t>
      </w:r>
      <w:r w:rsidR="00CA6F06" w:rsidRPr="0043193C">
        <w:rPr>
          <w:i/>
          <w:iCs/>
          <w:sz w:val="22"/>
          <w:szCs w:val="22"/>
          <w:vertAlign w:val="superscript"/>
        </w:rPr>
        <w:t>1</w:t>
      </w:r>
      <w:r w:rsidR="00CA6F06" w:rsidRPr="0043193C">
        <w:rPr>
          <w:i/>
          <w:iCs/>
          <w:sz w:val="22"/>
          <w:szCs w:val="22"/>
        </w:rPr>
        <w:t xml:space="preserve"> </w:t>
      </w:r>
      <w:r w:rsidR="005A1F12" w:rsidRPr="0043193C">
        <w:rPr>
          <w:i/>
          <w:iCs/>
          <w:sz w:val="22"/>
          <w:szCs w:val="22"/>
        </w:rPr>
        <w:t xml:space="preserve">and </w:t>
      </w:r>
      <w:r w:rsidR="00AE5017" w:rsidRPr="0043193C">
        <w:rPr>
          <w:i/>
          <w:iCs/>
          <w:sz w:val="22"/>
          <w:szCs w:val="22"/>
        </w:rPr>
        <w:t>Name</w:t>
      </w:r>
      <w:r w:rsidR="005A1F12" w:rsidRPr="0043193C">
        <w:rPr>
          <w:i/>
          <w:iCs/>
          <w:sz w:val="22"/>
          <w:szCs w:val="22"/>
        </w:rPr>
        <w:t xml:space="preserve"> </w:t>
      </w:r>
      <w:r w:rsidR="00CA6F06" w:rsidRPr="0043193C">
        <w:rPr>
          <w:i/>
          <w:iCs/>
          <w:sz w:val="22"/>
          <w:szCs w:val="22"/>
        </w:rPr>
        <w:t>A</w:t>
      </w:r>
      <w:r w:rsidR="008E7BEF" w:rsidRPr="0043193C">
        <w:rPr>
          <w:i/>
          <w:iCs/>
          <w:sz w:val="22"/>
          <w:szCs w:val="22"/>
        </w:rPr>
        <w:t>utor</w:t>
      </w:r>
      <w:r w:rsidR="00076FEB" w:rsidRPr="0043193C">
        <w:rPr>
          <w:i/>
          <w:iCs/>
          <w:sz w:val="22"/>
          <w:szCs w:val="22"/>
          <w:vertAlign w:val="superscript"/>
        </w:rPr>
        <w:t>2</w:t>
      </w:r>
      <w:r w:rsidR="003E4979" w:rsidRPr="0043193C">
        <w:rPr>
          <w:sz w:val="22"/>
          <w:szCs w:val="22"/>
        </w:rPr>
        <w:t xml:space="preserve"> (</w:t>
      </w:r>
      <w:r w:rsidR="003E4979" w:rsidRPr="0043193C">
        <w:rPr>
          <w:i/>
          <w:iCs/>
          <w:sz w:val="22"/>
          <w:szCs w:val="22"/>
        </w:rPr>
        <w:t>FirstName Surname</w:t>
      </w:r>
      <w:r w:rsidR="00D54BB9" w:rsidRPr="0043193C">
        <w:rPr>
          <w:i/>
          <w:iCs/>
          <w:sz w:val="22"/>
          <w:szCs w:val="22"/>
        </w:rPr>
        <w:t xml:space="preserve"> </w:t>
      </w:r>
      <w:r w:rsidR="0043193C" w:rsidRPr="0043193C">
        <w:rPr>
          <w:i/>
          <w:iCs/>
          <w:sz w:val="22"/>
          <w:szCs w:val="22"/>
        </w:rPr>
        <w:t xml:space="preserve">Italics </w:t>
      </w:r>
      <w:r w:rsidR="00D54BB9" w:rsidRPr="0043193C">
        <w:rPr>
          <w:i/>
          <w:iCs/>
          <w:sz w:val="22"/>
          <w:szCs w:val="22"/>
        </w:rPr>
        <w:t>11 font</w:t>
      </w:r>
      <w:r w:rsidR="003E4979" w:rsidRPr="0043193C">
        <w:rPr>
          <w:sz w:val="22"/>
          <w:szCs w:val="22"/>
        </w:rPr>
        <w:t>)</w:t>
      </w:r>
      <w:r w:rsidR="00CA6F06" w:rsidRPr="0043193C">
        <w:rPr>
          <w:sz w:val="22"/>
          <w:szCs w:val="22"/>
          <w:vertAlign w:val="superscript"/>
        </w:rPr>
        <w:t>2</w:t>
      </w:r>
    </w:p>
    <w:p w14:paraId="664F438A" w14:textId="5C6DBA63" w:rsidR="00593AA9" w:rsidRDefault="00593AA9" w:rsidP="004F258A">
      <w:pPr>
        <w:pStyle w:val="Address"/>
        <w:spacing w:line="240" w:lineRule="auto"/>
      </w:pPr>
      <w:r w:rsidRPr="0043193C">
        <w:rPr>
          <w:vertAlign w:val="superscript"/>
        </w:rPr>
        <w:t>1</w:t>
      </w:r>
      <w:r w:rsidR="00BB2168" w:rsidRPr="0043193C">
        <w:t xml:space="preserve"> </w:t>
      </w:r>
      <w:r w:rsidR="005A1F12" w:rsidRPr="0043193C">
        <w:t>Affiliation</w:t>
      </w:r>
      <w:r w:rsidR="008F0949" w:rsidRPr="0043193C">
        <w:t xml:space="preserve"> for author </w:t>
      </w:r>
      <w:r w:rsidR="00D54BB9" w:rsidRPr="0043193C">
        <w:t>(</w:t>
      </w:r>
      <w:r w:rsidR="00C7688A" w:rsidRPr="0043193C">
        <w:t xml:space="preserve">10 </w:t>
      </w:r>
      <w:r w:rsidR="00D54BB9" w:rsidRPr="0043193C">
        <w:t>font)</w:t>
      </w:r>
      <w:r w:rsidR="00AE5017">
        <w:br/>
      </w:r>
      <w:r w:rsidR="00AE5017">
        <w:rPr>
          <w:vertAlign w:val="superscript"/>
        </w:rPr>
        <w:t>2</w:t>
      </w:r>
      <w:r w:rsidR="00AE5017">
        <w:t xml:space="preserve"> Affiliation</w:t>
      </w:r>
      <w:r w:rsidR="005A1F12">
        <w:t xml:space="preserve"> </w:t>
      </w:r>
      <w:r w:rsidR="008F0949">
        <w:t xml:space="preserve">for author </w:t>
      </w:r>
      <w:r w:rsidR="00586635">
        <w:t>(10 font)</w:t>
      </w:r>
    </w:p>
    <w:p w14:paraId="1437C141" w14:textId="09446E93" w:rsidR="00D437B0" w:rsidRPr="00D437B0" w:rsidRDefault="00D036F7" w:rsidP="004F258A">
      <w:pPr>
        <w:pStyle w:val="Reccitation"/>
        <w:spacing w:line="240" w:lineRule="auto"/>
      </w:pPr>
      <w:r w:rsidRPr="008F0949">
        <w:rPr>
          <w:bCs/>
          <w:i/>
          <w:iCs/>
        </w:rPr>
        <w:t>Keywords</w:t>
      </w:r>
      <w:r w:rsidRPr="008F0949">
        <w:rPr>
          <w:bCs/>
        </w:rPr>
        <w:t>:</w:t>
      </w:r>
      <w:r w:rsidRPr="00D036F7">
        <w:t xml:space="preserve"> Suggested maximum </w:t>
      </w:r>
      <w:r w:rsidR="005A1F12">
        <w:t xml:space="preserve">of </w:t>
      </w:r>
      <w:r w:rsidR="001F451A">
        <w:t xml:space="preserve">5 </w:t>
      </w:r>
      <w:r w:rsidR="005A1F12">
        <w:t xml:space="preserve">to </w:t>
      </w:r>
      <w:r w:rsidR="001F451A">
        <w:t xml:space="preserve">6 </w:t>
      </w:r>
      <w:r w:rsidR="005A1F12">
        <w:t>keywords</w:t>
      </w:r>
      <w:bookmarkStart w:id="0" w:name="_Toc194387597"/>
      <w:bookmarkStart w:id="1" w:name="_Toc197332903"/>
      <w:r w:rsidR="00586635">
        <w:t xml:space="preserve"> (10 font)</w:t>
      </w:r>
    </w:p>
    <w:p w14:paraId="4E8FC267" w14:textId="143B454A" w:rsidR="00D62714" w:rsidRDefault="00D62714" w:rsidP="00AC0AB1">
      <w:pPr>
        <w:spacing w:line="240" w:lineRule="auto"/>
        <w:ind w:firstLine="0"/>
        <w:jc w:val="both"/>
        <w:rPr>
          <w:szCs w:val="24"/>
        </w:rPr>
      </w:pPr>
      <w:bookmarkStart w:id="2" w:name="_Hlk214374578"/>
      <w:r>
        <w:rPr>
          <w:szCs w:val="24"/>
        </w:rPr>
        <w:t>Use concise</w:t>
      </w:r>
      <w:r w:rsidR="0063496D">
        <w:rPr>
          <w:szCs w:val="24"/>
        </w:rPr>
        <w:t xml:space="preserve"> and </w:t>
      </w:r>
      <w:r>
        <w:rPr>
          <w:szCs w:val="24"/>
        </w:rPr>
        <w:t xml:space="preserve">clear English to write your abstract. </w:t>
      </w:r>
    </w:p>
    <w:p w14:paraId="4B905874" w14:textId="005EC3F2" w:rsidR="00324714" w:rsidRPr="0043193C" w:rsidRDefault="00A4532F" w:rsidP="00AC0AB1">
      <w:pPr>
        <w:spacing w:line="240" w:lineRule="auto"/>
        <w:ind w:firstLine="0"/>
        <w:jc w:val="both"/>
        <w:rPr>
          <w:szCs w:val="24"/>
        </w:rPr>
      </w:pPr>
      <w:r w:rsidRPr="00A4532F">
        <w:rPr>
          <w:szCs w:val="24"/>
        </w:rPr>
        <w:t xml:space="preserve">Abstracts are to be written in </w:t>
      </w:r>
      <w:r>
        <w:rPr>
          <w:szCs w:val="24"/>
        </w:rPr>
        <w:t>Times New R</w:t>
      </w:r>
      <w:r w:rsidRPr="0043193C">
        <w:rPr>
          <w:szCs w:val="24"/>
        </w:rPr>
        <w:t>oman, 1</w:t>
      </w:r>
      <w:r w:rsidR="000F55BB" w:rsidRPr="0043193C">
        <w:rPr>
          <w:szCs w:val="24"/>
        </w:rPr>
        <w:t>1</w:t>
      </w:r>
      <w:r w:rsidRPr="0043193C">
        <w:rPr>
          <w:szCs w:val="24"/>
        </w:rPr>
        <w:t xml:space="preserve">pt font, single line spacing and justified, with margins of 25 mm on each side, and 15 mm </w:t>
      </w:r>
      <w:r w:rsidR="0097063B" w:rsidRPr="0043193C">
        <w:rPr>
          <w:szCs w:val="24"/>
        </w:rPr>
        <w:t xml:space="preserve">each </w:t>
      </w:r>
      <w:r w:rsidRPr="0043193C">
        <w:rPr>
          <w:szCs w:val="24"/>
        </w:rPr>
        <w:t xml:space="preserve">at the top and bottom. </w:t>
      </w:r>
    </w:p>
    <w:p w14:paraId="45FA35E7" w14:textId="0EE53F4A" w:rsidR="00A4532F" w:rsidRPr="0043193C" w:rsidRDefault="001A3671" w:rsidP="00AC0AB1">
      <w:pPr>
        <w:spacing w:line="240" w:lineRule="auto"/>
        <w:ind w:firstLine="0"/>
        <w:jc w:val="both"/>
        <w:rPr>
          <w:szCs w:val="24"/>
        </w:rPr>
      </w:pPr>
      <w:r w:rsidRPr="0043193C">
        <w:rPr>
          <w:szCs w:val="24"/>
        </w:rPr>
        <w:t xml:space="preserve">Abstracts </w:t>
      </w:r>
      <w:r w:rsidR="00BD4A49" w:rsidRPr="0043193C">
        <w:rPr>
          <w:szCs w:val="24"/>
        </w:rPr>
        <w:t>have a maximum limit o</w:t>
      </w:r>
      <w:r w:rsidRPr="0043193C">
        <w:rPr>
          <w:szCs w:val="24"/>
        </w:rPr>
        <w:t xml:space="preserve">f 2 pages. </w:t>
      </w:r>
      <w:r w:rsidR="00C83EE2" w:rsidRPr="0043193C">
        <w:rPr>
          <w:szCs w:val="24"/>
        </w:rPr>
        <w:t xml:space="preserve">Optional </w:t>
      </w:r>
      <w:r w:rsidR="004F258A" w:rsidRPr="0043193C">
        <w:rPr>
          <w:szCs w:val="24"/>
        </w:rPr>
        <w:t xml:space="preserve">you can </w:t>
      </w:r>
      <w:r w:rsidR="00324714" w:rsidRPr="0043193C">
        <w:rPr>
          <w:szCs w:val="24"/>
        </w:rPr>
        <w:t>include 1 figure</w:t>
      </w:r>
      <w:r w:rsidRPr="0043193C">
        <w:rPr>
          <w:szCs w:val="24"/>
        </w:rPr>
        <w:t xml:space="preserve"> or </w:t>
      </w:r>
      <w:r w:rsidR="0049411F" w:rsidRPr="0043193C">
        <w:rPr>
          <w:szCs w:val="24"/>
        </w:rPr>
        <w:t xml:space="preserve">1 </w:t>
      </w:r>
      <w:r w:rsidRPr="0043193C">
        <w:rPr>
          <w:szCs w:val="24"/>
        </w:rPr>
        <w:t>table</w:t>
      </w:r>
      <w:r w:rsidR="00324714" w:rsidRPr="0043193C">
        <w:rPr>
          <w:szCs w:val="24"/>
        </w:rPr>
        <w:t>.</w:t>
      </w:r>
      <w:r w:rsidR="00F57A21" w:rsidRPr="0043193C">
        <w:rPr>
          <w:szCs w:val="24"/>
        </w:rPr>
        <w:t xml:space="preserve"> If using figure or table refer to it in the text as (Figure 1) or (Table 1).</w:t>
      </w:r>
      <w:r w:rsidR="00F061BB" w:rsidRPr="0043193C">
        <w:rPr>
          <w:szCs w:val="24"/>
        </w:rPr>
        <w:t xml:space="preserve"> </w:t>
      </w:r>
    </w:p>
    <w:p w14:paraId="3C535FE6" w14:textId="6B87DF37" w:rsidR="00A4532F" w:rsidRPr="00586635" w:rsidRDefault="00A4532F" w:rsidP="00AC0AB1">
      <w:pPr>
        <w:spacing w:line="240" w:lineRule="auto"/>
        <w:ind w:firstLine="0"/>
        <w:jc w:val="both"/>
        <w:rPr>
          <w:b/>
          <w:bCs/>
          <w:szCs w:val="24"/>
        </w:rPr>
      </w:pPr>
      <w:r w:rsidRPr="0043193C">
        <w:rPr>
          <w:szCs w:val="24"/>
        </w:rPr>
        <w:t xml:space="preserve">Use </w:t>
      </w:r>
      <w:r w:rsidR="00187BB6" w:rsidRPr="0043193C">
        <w:rPr>
          <w:szCs w:val="24"/>
        </w:rPr>
        <w:t>one</w:t>
      </w:r>
      <w:r w:rsidRPr="0043193C">
        <w:rPr>
          <w:szCs w:val="24"/>
        </w:rPr>
        <w:t xml:space="preserve"> hard return for a new paragraph </w:t>
      </w:r>
      <w:r w:rsidR="00F70058" w:rsidRPr="0043193C">
        <w:rPr>
          <w:szCs w:val="24"/>
        </w:rPr>
        <w:t>(</w:t>
      </w:r>
      <w:r w:rsidR="00CF3AEA" w:rsidRPr="0043193C">
        <w:rPr>
          <w:szCs w:val="24"/>
        </w:rPr>
        <w:t xml:space="preserve">between paragraphs </w:t>
      </w:r>
      <w:r w:rsidR="005D5FB4" w:rsidRPr="0043193C">
        <w:rPr>
          <w:szCs w:val="24"/>
        </w:rPr>
        <w:t xml:space="preserve">use </w:t>
      </w:r>
      <w:r w:rsidR="00F70058" w:rsidRPr="0043193C">
        <w:rPr>
          <w:szCs w:val="24"/>
        </w:rPr>
        <w:t>spacing 6 pt</w:t>
      </w:r>
      <w:r w:rsidR="00324333">
        <w:rPr>
          <w:szCs w:val="24"/>
        </w:rPr>
        <w:t xml:space="preserve"> </w:t>
      </w:r>
      <w:r w:rsidR="00324333" w:rsidRPr="00324333">
        <w:rPr>
          <w:szCs w:val="24"/>
          <w:highlight w:val="yellow"/>
        </w:rPr>
        <w:t>after</w:t>
      </w:r>
      <w:r w:rsidR="00F70058" w:rsidRPr="0043193C">
        <w:rPr>
          <w:szCs w:val="24"/>
        </w:rPr>
        <w:t>)</w:t>
      </w:r>
      <w:r w:rsidR="006319E7" w:rsidRPr="0043193C">
        <w:rPr>
          <w:szCs w:val="24"/>
        </w:rPr>
        <w:t xml:space="preserve"> </w:t>
      </w:r>
      <w:r w:rsidRPr="0043193C">
        <w:rPr>
          <w:szCs w:val="24"/>
        </w:rPr>
        <w:t xml:space="preserve">and do not use indents. This includes the title and affiliations, all text (any images) and references. </w:t>
      </w:r>
    </w:p>
    <w:p w14:paraId="4D835182" w14:textId="2BB3AB6E" w:rsidR="00A4532F" w:rsidRPr="00A4532F" w:rsidRDefault="00A4532F" w:rsidP="00AC0AB1">
      <w:pPr>
        <w:spacing w:line="240" w:lineRule="auto"/>
        <w:ind w:firstLine="0"/>
        <w:jc w:val="both"/>
        <w:rPr>
          <w:szCs w:val="24"/>
        </w:rPr>
      </w:pPr>
      <w:r w:rsidRPr="00A4532F">
        <w:rPr>
          <w:szCs w:val="24"/>
        </w:rPr>
        <w:t>Spell out all acronyms in full in the first instance, with the acronym in parentheses. After this, the acronym can be used.</w:t>
      </w:r>
    </w:p>
    <w:p w14:paraId="2EB6368C" w14:textId="50EE2EC9" w:rsidR="00404DFA" w:rsidRDefault="00A4532F" w:rsidP="00AC0AB1">
      <w:pPr>
        <w:spacing w:line="240" w:lineRule="auto"/>
        <w:ind w:firstLine="0"/>
        <w:jc w:val="both"/>
        <w:rPr>
          <w:szCs w:val="24"/>
        </w:rPr>
      </w:pPr>
      <w:r w:rsidRPr="00A4532F">
        <w:rPr>
          <w:szCs w:val="24"/>
        </w:rPr>
        <w:t>References within the text</w:t>
      </w:r>
      <w:r w:rsidR="00922460">
        <w:rPr>
          <w:szCs w:val="24"/>
        </w:rPr>
        <w:t xml:space="preserve"> should be r</w:t>
      </w:r>
      <w:r w:rsidRPr="00A4532F">
        <w:rPr>
          <w:szCs w:val="24"/>
        </w:rPr>
        <w:t xml:space="preserve">eferred to </w:t>
      </w:r>
      <w:r w:rsidR="00586635" w:rsidRPr="00586635">
        <w:rPr>
          <w:szCs w:val="24"/>
        </w:rPr>
        <w:t>"as demonstrated (Allan, 2020a, 2020b; Allan and Jones, 2019)" or "as demonstrated (Jones, 2019; Allan, 2020). Kramer et al. (2023) have recently shown"</w:t>
      </w:r>
      <w:r w:rsidR="009551C1">
        <w:rPr>
          <w:szCs w:val="24"/>
        </w:rPr>
        <w:t>.</w:t>
      </w:r>
      <w:r w:rsidR="00922460" w:rsidRPr="00922460">
        <w:rPr>
          <w:szCs w:val="24"/>
        </w:rPr>
        <w:t xml:space="preserve"> </w:t>
      </w:r>
      <w:r w:rsidR="00922460">
        <w:rPr>
          <w:szCs w:val="24"/>
        </w:rPr>
        <w:t xml:space="preserve">References </w:t>
      </w:r>
      <w:r w:rsidR="00922460" w:rsidRPr="00A4532F">
        <w:rPr>
          <w:szCs w:val="24"/>
        </w:rPr>
        <w:t xml:space="preserve">should be </w:t>
      </w:r>
      <w:r w:rsidR="00922460">
        <w:rPr>
          <w:szCs w:val="24"/>
        </w:rPr>
        <w:t xml:space="preserve">listed in </w:t>
      </w:r>
      <w:r w:rsidR="00646A68">
        <w:rPr>
          <w:szCs w:val="24"/>
        </w:rPr>
        <w:t xml:space="preserve">full and </w:t>
      </w:r>
      <w:r w:rsidR="00586635">
        <w:rPr>
          <w:szCs w:val="24"/>
        </w:rPr>
        <w:t xml:space="preserve">at the end of the abstract. The references should be </w:t>
      </w:r>
      <w:r w:rsidR="00586635" w:rsidRPr="00586635">
        <w:rPr>
          <w:szCs w:val="24"/>
        </w:rPr>
        <w:t>arranged alphabetically and then chronologically if necessary. More than one reference from the same author(s) in the same year must be identified by the letters 'a', 'b', 'c', etc., placed after the year of publication</w:t>
      </w:r>
      <w:r w:rsidR="00586635">
        <w:rPr>
          <w:szCs w:val="24"/>
        </w:rPr>
        <w:t xml:space="preserve"> </w:t>
      </w:r>
      <w:r w:rsidR="00324333" w:rsidRPr="00324333">
        <w:rPr>
          <w:szCs w:val="24"/>
          <w:highlight w:val="yellow"/>
        </w:rPr>
        <w:t>See reference style in the example below (page 3).</w:t>
      </w:r>
    </w:p>
    <w:p w14:paraId="4F8278B0" w14:textId="4AAB195C" w:rsidR="00324333" w:rsidRPr="0041100B" w:rsidRDefault="009551C1" w:rsidP="00324333">
      <w:pPr>
        <w:spacing w:line="240" w:lineRule="auto"/>
        <w:ind w:firstLine="0"/>
        <w:rPr>
          <w:color w:val="000000" w:themeColor="text1"/>
          <w:szCs w:val="24"/>
        </w:rPr>
      </w:pPr>
      <w:r w:rsidRPr="0043193C">
        <w:rPr>
          <w:szCs w:val="24"/>
        </w:rPr>
        <w:t xml:space="preserve">Please </w:t>
      </w:r>
      <w:r w:rsidR="00D30E23" w:rsidRPr="0043193C">
        <w:rPr>
          <w:szCs w:val="24"/>
        </w:rPr>
        <w:t>save your file giving the</w:t>
      </w:r>
      <w:r w:rsidR="00586635">
        <w:rPr>
          <w:szCs w:val="24"/>
        </w:rPr>
        <w:t xml:space="preserve"> session number (S#) and then</w:t>
      </w:r>
      <w:r w:rsidR="00D30E23" w:rsidRPr="0043193C">
        <w:rPr>
          <w:szCs w:val="24"/>
        </w:rPr>
        <w:t xml:space="preserve"> </w:t>
      </w:r>
      <w:r w:rsidR="003E32AF" w:rsidRPr="0043193C">
        <w:rPr>
          <w:szCs w:val="24"/>
        </w:rPr>
        <w:t>first author’s sur</w:t>
      </w:r>
      <w:r w:rsidR="00D30E23" w:rsidRPr="0043193C">
        <w:rPr>
          <w:szCs w:val="24"/>
        </w:rPr>
        <w:t xml:space="preserve">name in the following </w:t>
      </w:r>
      <w:r w:rsidR="00372776" w:rsidRPr="0043193C">
        <w:rPr>
          <w:szCs w:val="24"/>
        </w:rPr>
        <w:t xml:space="preserve">format: </w:t>
      </w:r>
      <w:r w:rsidR="00260E93" w:rsidRPr="0043193C">
        <w:rPr>
          <w:szCs w:val="24"/>
        </w:rPr>
        <w:t>“</w:t>
      </w:r>
      <w:r w:rsidR="00586635">
        <w:rPr>
          <w:szCs w:val="24"/>
        </w:rPr>
        <w:t>S#_</w:t>
      </w:r>
      <w:r w:rsidR="00260E93" w:rsidRPr="0043193C">
        <w:rPr>
          <w:szCs w:val="24"/>
        </w:rPr>
        <w:t>Smith</w:t>
      </w:r>
      <w:r w:rsidR="00586635">
        <w:rPr>
          <w:szCs w:val="24"/>
        </w:rPr>
        <w:t>-</w:t>
      </w:r>
      <w:r w:rsidR="00372776" w:rsidRPr="0043193C">
        <w:rPr>
          <w:szCs w:val="24"/>
        </w:rPr>
        <w:t>IAGOD2026</w:t>
      </w:r>
      <w:r w:rsidR="00260E93" w:rsidRPr="0043193C">
        <w:rPr>
          <w:szCs w:val="24"/>
        </w:rPr>
        <w:t>poster</w:t>
      </w:r>
      <w:r w:rsidR="00E1223E" w:rsidRPr="0043193C">
        <w:rPr>
          <w:szCs w:val="24"/>
        </w:rPr>
        <w:t>.docx</w:t>
      </w:r>
      <w:r w:rsidR="00260E93" w:rsidRPr="0043193C">
        <w:rPr>
          <w:szCs w:val="24"/>
        </w:rPr>
        <w:t>”</w:t>
      </w:r>
      <w:r w:rsidR="00D30E23" w:rsidRPr="0043193C">
        <w:rPr>
          <w:szCs w:val="24"/>
        </w:rPr>
        <w:t xml:space="preserve"> </w:t>
      </w:r>
      <w:r w:rsidR="00AC5026" w:rsidRPr="0043193C">
        <w:rPr>
          <w:szCs w:val="24"/>
        </w:rPr>
        <w:t>or “</w:t>
      </w:r>
      <w:r w:rsidR="00586635">
        <w:rPr>
          <w:szCs w:val="24"/>
        </w:rPr>
        <w:t>S#_</w:t>
      </w:r>
      <w:r w:rsidR="00AC5026" w:rsidRPr="0043193C">
        <w:rPr>
          <w:szCs w:val="24"/>
        </w:rPr>
        <w:t>Smith</w:t>
      </w:r>
      <w:r w:rsidR="00586635">
        <w:rPr>
          <w:szCs w:val="24"/>
        </w:rPr>
        <w:t>-</w:t>
      </w:r>
      <w:r w:rsidR="00AC5026" w:rsidRPr="0043193C">
        <w:rPr>
          <w:szCs w:val="24"/>
        </w:rPr>
        <w:t>IAGOD2026oral</w:t>
      </w:r>
      <w:r w:rsidR="00E1223E" w:rsidRPr="0043193C">
        <w:rPr>
          <w:szCs w:val="24"/>
        </w:rPr>
        <w:t>.docx</w:t>
      </w:r>
      <w:r w:rsidR="00AC5026" w:rsidRPr="0043193C">
        <w:rPr>
          <w:szCs w:val="24"/>
        </w:rPr>
        <w:t xml:space="preserve">” (depending on </w:t>
      </w:r>
      <w:r w:rsidR="00BE2A11" w:rsidRPr="0043193C">
        <w:rPr>
          <w:szCs w:val="24"/>
        </w:rPr>
        <w:t xml:space="preserve">your </w:t>
      </w:r>
      <w:r w:rsidR="00AC5026" w:rsidRPr="0043193C">
        <w:rPr>
          <w:szCs w:val="24"/>
        </w:rPr>
        <w:t>preference</w:t>
      </w:r>
      <w:r w:rsidR="00BE2A11" w:rsidRPr="0043193C">
        <w:rPr>
          <w:szCs w:val="24"/>
        </w:rPr>
        <w:t xml:space="preserve"> of presentation</w:t>
      </w:r>
      <w:r w:rsidR="00AC5026" w:rsidRPr="0043193C">
        <w:rPr>
          <w:szCs w:val="24"/>
        </w:rPr>
        <w:t xml:space="preserve">) </w:t>
      </w:r>
      <w:r w:rsidR="00D30E23" w:rsidRPr="0043193C">
        <w:rPr>
          <w:szCs w:val="24"/>
        </w:rPr>
        <w:t>and email it to</w:t>
      </w:r>
      <w:r w:rsidR="006D5C32" w:rsidRPr="0043193C">
        <w:rPr>
          <w:szCs w:val="24"/>
        </w:rPr>
        <w:t xml:space="preserve">: </w:t>
      </w:r>
      <w:hyperlink r:id="rId8" w:history="1">
        <w:r w:rsidR="0041100B" w:rsidRPr="0041100B">
          <w:rPr>
            <w:rStyle w:val="Hyperlink"/>
          </w:rPr>
          <w:t>iagod.symposium2026@gmail.com</w:t>
        </w:r>
      </w:hyperlink>
      <w:r w:rsidR="003F4352" w:rsidRPr="0041100B">
        <w:rPr>
          <w:szCs w:val="24"/>
        </w:rPr>
        <w:t>.</w:t>
      </w:r>
      <w:r w:rsidR="00324333">
        <w:rPr>
          <w:szCs w:val="24"/>
        </w:rPr>
        <w:t xml:space="preserve"> </w:t>
      </w:r>
      <w:r w:rsidR="0041100B" w:rsidRPr="0041100B">
        <w:rPr>
          <w:color w:val="000000" w:themeColor="text1"/>
          <w:szCs w:val="24"/>
          <w:highlight w:val="cyan"/>
        </w:rPr>
        <w:t>We kindly request that you submit the abstract information in the submission information form. If not possible, pl</w:t>
      </w:r>
      <w:r w:rsidR="00324333" w:rsidRPr="0041100B">
        <w:rPr>
          <w:color w:val="000000" w:themeColor="text1"/>
          <w:szCs w:val="24"/>
          <w:highlight w:val="cyan"/>
        </w:rPr>
        <w:t xml:space="preserve">ease indicate in your email message the </w:t>
      </w:r>
      <w:r w:rsidR="0041100B" w:rsidRPr="0041100B">
        <w:rPr>
          <w:color w:val="000000" w:themeColor="text1"/>
          <w:szCs w:val="24"/>
          <w:highlight w:val="cyan"/>
        </w:rPr>
        <w:t xml:space="preserve">preferred session and </w:t>
      </w:r>
      <w:r w:rsidR="00324333" w:rsidRPr="0041100B">
        <w:rPr>
          <w:color w:val="000000" w:themeColor="text1"/>
          <w:szCs w:val="24"/>
          <w:highlight w:val="cyan"/>
        </w:rPr>
        <w:t>preferred presentation type: ‘poster’, ‘oral’ or ‘no preference’ when submitting your abstract.</w:t>
      </w:r>
    </w:p>
    <w:bookmarkEnd w:id="2"/>
    <w:p w14:paraId="4C5AAA39" w14:textId="5B5CE422" w:rsidR="009551C1" w:rsidRDefault="009551C1" w:rsidP="00AC0AB1">
      <w:pPr>
        <w:spacing w:line="240" w:lineRule="auto"/>
        <w:ind w:firstLine="0"/>
        <w:jc w:val="both"/>
        <w:rPr>
          <w:szCs w:val="24"/>
        </w:rPr>
      </w:pPr>
    </w:p>
    <w:p w14:paraId="3387BC77" w14:textId="202795C6" w:rsidR="0043381C" w:rsidRDefault="0043381C" w:rsidP="00AC0AB1">
      <w:pPr>
        <w:spacing w:line="240" w:lineRule="auto"/>
        <w:ind w:firstLine="0"/>
        <w:jc w:val="both"/>
      </w:pPr>
      <w:r>
        <w:t>Acknowledgments are optional. If included, they should appear at the end of the text.</w:t>
      </w:r>
    </w:p>
    <w:p w14:paraId="339D0C66" w14:textId="77777777" w:rsidR="0043381C" w:rsidRDefault="0043381C" w:rsidP="00AC0AB1">
      <w:pPr>
        <w:spacing w:line="240" w:lineRule="auto"/>
        <w:ind w:firstLine="0"/>
        <w:jc w:val="both"/>
        <w:rPr>
          <w:szCs w:val="24"/>
        </w:rPr>
      </w:pPr>
    </w:p>
    <w:p w14:paraId="4A6B33F8" w14:textId="77777777" w:rsidR="0043381C" w:rsidRPr="00586635" w:rsidRDefault="0043381C" w:rsidP="0043381C">
      <w:pPr>
        <w:spacing w:line="240" w:lineRule="auto"/>
        <w:ind w:firstLine="0"/>
        <w:jc w:val="both"/>
        <w:rPr>
          <w:szCs w:val="24"/>
          <w:u w:val="single"/>
        </w:rPr>
      </w:pPr>
      <w:r w:rsidRPr="00586635">
        <w:rPr>
          <w:b/>
          <w:bCs/>
          <w:szCs w:val="24"/>
          <w:u w:val="single"/>
        </w:rPr>
        <w:t>Abstracts not in the correct format will be returned to authors, who will be asked to resubmit, if time permits.</w:t>
      </w:r>
    </w:p>
    <w:p w14:paraId="0DB672E6" w14:textId="77777777" w:rsidR="0043381C" w:rsidRDefault="0043381C" w:rsidP="00AC0AB1">
      <w:pPr>
        <w:spacing w:line="240" w:lineRule="auto"/>
        <w:ind w:firstLine="0"/>
        <w:jc w:val="both"/>
        <w:rPr>
          <w:szCs w:val="24"/>
        </w:rPr>
      </w:pPr>
    </w:p>
    <w:p w14:paraId="2D164C30" w14:textId="77777777" w:rsidR="0043381C" w:rsidRPr="00586635" w:rsidRDefault="0043381C" w:rsidP="0043381C">
      <w:pPr>
        <w:spacing w:line="240" w:lineRule="auto"/>
        <w:ind w:firstLine="0"/>
        <w:jc w:val="both"/>
        <w:rPr>
          <w:b/>
          <w:bCs/>
          <w:szCs w:val="24"/>
          <w:u w:val="single"/>
        </w:rPr>
      </w:pPr>
      <w:r w:rsidRPr="00586635">
        <w:rPr>
          <w:b/>
          <w:bCs/>
          <w:szCs w:val="24"/>
          <w:u w:val="single"/>
        </w:rPr>
        <w:t xml:space="preserve">The editors reserve the right to edit your abstract if it exceeds this limit. </w:t>
      </w:r>
    </w:p>
    <w:p w14:paraId="417FA4F7" w14:textId="77777777" w:rsidR="0043381C" w:rsidRDefault="0043381C" w:rsidP="00AC0AB1">
      <w:pPr>
        <w:spacing w:line="240" w:lineRule="auto"/>
        <w:ind w:firstLine="0"/>
        <w:jc w:val="both"/>
        <w:rPr>
          <w:szCs w:val="24"/>
        </w:rPr>
      </w:pPr>
    </w:p>
    <w:p w14:paraId="05BBC0D9" w14:textId="1E89F106" w:rsidR="000E7C4A" w:rsidRPr="00923DFE" w:rsidRDefault="00923DFE" w:rsidP="00AC0AB1">
      <w:pPr>
        <w:pStyle w:val="References"/>
        <w:spacing w:line="240" w:lineRule="auto"/>
        <w:ind w:left="0" w:firstLine="0"/>
        <w:jc w:val="both"/>
        <w:rPr>
          <w:b/>
          <w:bCs/>
          <w:color w:val="000000" w:themeColor="text1"/>
        </w:rPr>
      </w:pPr>
      <w:r w:rsidRPr="0043193C">
        <w:rPr>
          <w:b/>
          <w:bCs/>
          <w:color w:val="000000" w:themeColor="text1"/>
          <w:szCs w:val="24"/>
        </w:rPr>
        <w:t xml:space="preserve">Please </w:t>
      </w:r>
      <w:r w:rsidR="00FA3D19">
        <w:rPr>
          <w:b/>
          <w:bCs/>
          <w:color w:val="000000" w:themeColor="text1"/>
          <w:szCs w:val="24"/>
        </w:rPr>
        <w:t xml:space="preserve">follow these </w:t>
      </w:r>
      <w:r w:rsidRPr="0043193C">
        <w:rPr>
          <w:b/>
          <w:bCs/>
          <w:color w:val="000000" w:themeColor="text1"/>
          <w:szCs w:val="24"/>
        </w:rPr>
        <w:t xml:space="preserve">Abstract </w:t>
      </w:r>
      <w:r w:rsidR="00FA3D19">
        <w:rPr>
          <w:b/>
          <w:bCs/>
          <w:color w:val="000000" w:themeColor="text1"/>
          <w:szCs w:val="24"/>
        </w:rPr>
        <w:t xml:space="preserve">guidelines. “Abstract Example” on </w:t>
      </w:r>
      <w:r w:rsidR="00FA3D19" w:rsidRPr="0043193C">
        <w:rPr>
          <w:b/>
          <w:bCs/>
          <w:color w:val="000000" w:themeColor="text1"/>
          <w:szCs w:val="24"/>
        </w:rPr>
        <w:t>page</w:t>
      </w:r>
      <w:r w:rsidR="00FA3D19">
        <w:rPr>
          <w:b/>
          <w:bCs/>
          <w:color w:val="000000" w:themeColor="text1"/>
          <w:szCs w:val="24"/>
        </w:rPr>
        <w:t xml:space="preserve">s </w:t>
      </w:r>
      <w:r w:rsidR="00FA3D19" w:rsidRPr="00FA3D19">
        <w:rPr>
          <w:b/>
          <w:bCs/>
          <w:color w:val="000000" w:themeColor="text1"/>
          <w:szCs w:val="24"/>
          <w:highlight w:val="yellow"/>
        </w:rPr>
        <w:t>2 and 3</w:t>
      </w:r>
      <w:r w:rsidR="00FA3D19">
        <w:rPr>
          <w:b/>
          <w:bCs/>
          <w:color w:val="000000" w:themeColor="text1"/>
          <w:szCs w:val="24"/>
        </w:rPr>
        <w:t xml:space="preserve"> provides </w:t>
      </w:r>
      <w:r w:rsidRPr="0043193C">
        <w:rPr>
          <w:b/>
          <w:bCs/>
          <w:color w:val="000000" w:themeColor="text1"/>
          <w:szCs w:val="24"/>
        </w:rPr>
        <w:t>more clarification</w:t>
      </w:r>
      <w:r w:rsidR="004F3078" w:rsidRPr="0043193C">
        <w:rPr>
          <w:b/>
          <w:bCs/>
          <w:color w:val="000000" w:themeColor="text1"/>
          <w:szCs w:val="24"/>
        </w:rPr>
        <w:t xml:space="preserve"> and follow</w:t>
      </w:r>
      <w:r w:rsidR="00FA3D19">
        <w:rPr>
          <w:b/>
          <w:bCs/>
          <w:color w:val="000000" w:themeColor="text1"/>
          <w:szCs w:val="24"/>
        </w:rPr>
        <w:t xml:space="preserve">s </w:t>
      </w:r>
      <w:r w:rsidR="006D5B73" w:rsidRPr="0043193C">
        <w:rPr>
          <w:b/>
          <w:bCs/>
          <w:color w:val="000000" w:themeColor="text1"/>
          <w:szCs w:val="24"/>
        </w:rPr>
        <w:t xml:space="preserve">the </w:t>
      </w:r>
      <w:r w:rsidR="00AC0AB1" w:rsidRPr="0043193C">
        <w:rPr>
          <w:b/>
          <w:bCs/>
          <w:color w:val="000000" w:themeColor="text1"/>
          <w:szCs w:val="24"/>
        </w:rPr>
        <w:t>formatting</w:t>
      </w:r>
      <w:r w:rsidR="00FA3D19">
        <w:rPr>
          <w:b/>
          <w:bCs/>
          <w:color w:val="000000" w:themeColor="text1"/>
          <w:szCs w:val="24"/>
        </w:rPr>
        <w:t xml:space="preserve"> explained above.</w:t>
      </w:r>
      <w:r w:rsidR="00D63E32" w:rsidRPr="0043193C">
        <w:rPr>
          <w:b/>
          <w:bCs/>
          <w:color w:val="000000" w:themeColor="text1"/>
          <w:szCs w:val="24"/>
        </w:rPr>
        <w:t xml:space="preserve"> </w:t>
      </w:r>
    </w:p>
    <w:p w14:paraId="7E3F06D6" w14:textId="0EE20B45" w:rsidR="000E7C4A" w:rsidRDefault="000E7C4A" w:rsidP="00AC0AB1">
      <w:pPr>
        <w:spacing w:after="0" w:line="240" w:lineRule="auto"/>
        <w:ind w:firstLine="0"/>
        <w:jc w:val="both"/>
        <w:rPr>
          <w:bCs/>
          <w:smallCaps/>
          <w:szCs w:val="24"/>
        </w:rPr>
      </w:pPr>
    </w:p>
    <w:p w14:paraId="6450023D" w14:textId="77777777" w:rsidR="000E7C4A" w:rsidRDefault="000E7C4A" w:rsidP="00AC0AB1">
      <w:pPr>
        <w:spacing w:after="0" w:line="240" w:lineRule="auto"/>
        <w:ind w:firstLine="0"/>
        <w:jc w:val="both"/>
        <w:rPr>
          <w:bCs/>
          <w:smallCaps/>
          <w:szCs w:val="24"/>
        </w:rPr>
      </w:pPr>
      <w:r>
        <w:rPr>
          <w:bCs/>
          <w:smallCaps/>
          <w:szCs w:val="24"/>
        </w:rPr>
        <w:br w:type="page"/>
      </w:r>
    </w:p>
    <w:bookmarkEnd w:id="0"/>
    <w:bookmarkEnd w:id="1"/>
    <w:p w14:paraId="5C67C5B5" w14:textId="3A0E0D62" w:rsidR="00B166B9" w:rsidRDefault="00B166B9" w:rsidP="00B166B9">
      <w:pPr>
        <w:pStyle w:val="Header"/>
        <w:spacing w:after="120"/>
        <w:jc w:val="center"/>
      </w:pPr>
      <w:r w:rsidRPr="00733AC9">
        <w:rPr>
          <w:highlight w:val="cyan"/>
        </w:rPr>
        <w:lastRenderedPageBreak/>
        <w:t xml:space="preserve">Abstract Example: file name </w:t>
      </w:r>
      <w:r w:rsidRPr="00586635">
        <w:rPr>
          <w:highlight w:val="cyan"/>
        </w:rPr>
        <w:t>“</w:t>
      </w:r>
      <w:r w:rsidR="00586635" w:rsidRPr="00586635">
        <w:rPr>
          <w:highlight w:val="cyan"/>
        </w:rPr>
        <w:t>S#_Dolgopolova-</w:t>
      </w:r>
      <w:r w:rsidRPr="00586635">
        <w:rPr>
          <w:highlight w:val="cyan"/>
        </w:rPr>
        <w:t>IA</w:t>
      </w:r>
      <w:r w:rsidRPr="00733AC9">
        <w:rPr>
          <w:highlight w:val="cyan"/>
        </w:rPr>
        <w:t>GOD2026oral</w:t>
      </w:r>
      <w:r w:rsidR="00586635">
        <w:rPr>
          <w:highlight w:val="cyan"/>
        </w:rPr>
        <w:t>-</w:t>
      </w:r>
      <w:r w:rsidRPr="00733AC9">
        <w:rPr>
          <w:highlight w:val="cyan"/>
        </w:rPr>
        <w:t>abstract.doc”</w:t>
      </w:r>
    </w:p>
    <w:p w14:paraId="6688AFFA" w14:textId="669F65F6" w:rsidR="009551C1" w:rsidRDefault="009551C1" w:rsidP="009551C1">
      <w:pPr>
        <w:pStyle w:val="Authors"/>
        <w:spacing w:line="240" w:lineRule="auto"/>
        <w:rPr>
          <w:b/>
          <w:sz w:val="24"/>
          <w:szCs w:val="24"/>
        </w:rPr>
      </w:pPr>
      <w:r w:rsidRPr="004B2B2C">
        <w:rPr>
          <w:b/>
          <w:sz w:val="24"/>
          <w:szCs w:val="24"/>
        </w:rPr>
        <w:t xml:space="preserve">Sr-Nd-Pb-Hf Isotope Systematics </w:t>
      </w:r>
      <w:r>
        <w:rPr>
          <w:b/>
          <w:sz w:val="24"/>
          <w:szCs w:val="24"/>
        </w:rPr>
        <w:t>o</w:t>
      </w:r>
      <w:r w:rsidRPr="004B2B2C">
        <w:rPr>
          <w:b/>
          <w:sz w:val="24"/>
          <w:szCs w:val="24"/>
        </w:rPr>
        <w:t xml:space="preserve">f </w:t>
      </w:r>
      <w:r>
        <w:rPr>
          <w:b/>
          <w:sz w:val="24"/>
          <w:szCs w:val="24"/>
        </w:rPr>
        <w:t>t</w:t>
      </w:r>
      <w:r w:rsidRPr="004B2B2C">
        <w:rPr>
          <w:b/>
          <w:sz w:val="24"/>
          <w:szCs w:val="24"/>
        </w:rPr>
        <w:t xml:space="preserve">he Hugo Dummett Cu-Au Porphyry Deposit </w:t>
      </w:r>
    </w:p>
    <w:p w14:paraId="24D40036" w14:textId="11BE36BC" w:rsidR="009551C1" w:rsidRPr="00C130C5" w:rsidRDefault="009551C1" w:rsidP="009551C1">
      <w:pPr>
        <w:pStyle w:val="Authors"/>
        <w:spacing w:line="240" w:lineRule="auto"/>
        <w:rPr>
          <w:i/>
          <w:iCs/>
          <w:sz w:val="22"/>
          <w:szCs w:val="22"/>
          <w:vertAlign w:val="superscript"/>
        </w:rPr>
      </w:pPr>
      <w:r w:rsidRPr="00C130C5">
        <w:rPr>
          <w:i/>
          <w:iCs/>
          <w:sz w:val="22"/>
          <w:szCs w:val="22"/>
        </w:rPr>
        <w:t>by Alla Dolgopolova</w:t>
      </w:r>
      <w:r w:rsidRPr="00C130C5">
        <w:rPr>
          <w:i/>
          <w:iCs/>
          <w:sz w:val="22"/>
          <w:szCs w:val="22"/>
          <w:vertAlign w:val="superscript"/>
        </w:rPr>
        <w:t>1</w:t>
      </w:r>
      <w:r w:rsidRPr="00C130C5">
        <w:rPr>
          <w:i/>
          <w:iCs/>
          <w:sz w:val="22"/>
          <w:szCs w:val="22"/>
        </w:rPr>
        <w:t>, Reimar Seltmann</w:t>
      </w:r>
      <w:r w:rsidRPr="00C130C5">
        <w:rPr>
          <w:i/>
          <w:iCs/>
          <w:sz w:val="22"/>
          <w:szCs w:val="22"/>
          <w:vertAlign w:val="superscript"/>
        </w:rPr>
        <w:t>1</w:t>
      </w:r>
      <w:r w:rsidRPr="00C130C5">
        <w:rPr>
          <w:i/>
          <w:iCs/>
          <w:sz w:val="22"/>
          <w:szCs w:val="22"/>
        </w:rPr>
        <w:t xml:space="preserve"> and Elena Belousov</w:t>
      </w:r>
      <w:r w:rsidR="005F42C2" w:rsidRPr="005F42C2">
        <w:rPr>
          <w:i/>
          <w:iCs/>
          <w:sz w:val="22"/>
          <w:szCs w:val="22"/>
          <w:vertAlign w:val="superscript"/>
        </w:rPr>
        <w:t>2</w:t>
      </w:r>
    </w:p>
    <w:p w14:paraId="77E0761E" w14:textId="330996E7" w:rsidR="009551C1" w:rsidRDefault="009551C1" w:rsidP="009551C1">
      <w:pPr>
        <w:pStyle w:val="Address"/>
        <w:spacing w:after="0" w:line="240" w:lineRule="auto"/>
        <w:jc w:val="center"/>
      </w:pPr>
      <w:r>
        <w:rPr>
          <w:vertAlign w:val="superscript"/>
        </w:rPr>
        <w:t>1</w:t>
      </w:r>
      <w:r>
        <w:t xml:space="preserve"> </w:t>
      </w:r>
      <w:r w:rsidRPr="006F0B8A">
        <w:t>Natural History Museum, CERCAMS, Cromwell Road, London</w:t>
      </w:r>
      <w:r w:rsidR="00733AC9" w:rsidRPr="007E6ABC">
        <w:t>, UK</w:t>
      </w:r>
      <w:r>
        <w:br/>
      </w:r>
      <w:r w:rsidR="00802CCF">
        <w:rPr>
          <w:vertAlign w:val="superscript"/>
        </w:rPr>
        <w:t>2</w:t>
      </w:r>
      <w:r>
        <w:rPr>
          <w:vertAlign w:val="superscript"/>
        </w:rPr>
        <w:t xml:space="preserve"> </w:t>
      </w:r>
      <w:r w:rsidRPr="00733824">
        <w:t>Geological Survey of Queensland (GSQ),</w:t>
      </w:r>
      <w:r>
        <w:t xml:space="preserve"> Brisbane, Australia</w:t>
      </w:r>
    </w:p>
    <w:p w14:paraId="79205C80" w14:textId="77777777" w:rsidR="009551C1" w:rsidRPr="00FE37A6" w:rsidRDefault="009551C1" w:rsidP="009551C1">
      <w:pPr>
        <w:pStyle w:val="Address"/>
        <w:spacing w:after="0" w:line="240" w:lineRule="auto"/>
        <w:jc w:val="center"/>
      </w:pPr>
    </w:p>
    <w:p w14:paraId="69898139" w14:textId="77777777" w:rsidR="009551C1" w:rsidRPr="00D437B0" w:rsidRDefault="009551C1" w:rsidP="009551C1">
      <w:pPr>
        <w:pStyle w:val="Reccitation"/>
        <w:spacing w:line="240" w:lineRule="auto"/>
      </w:pPr>
      <w:r w:rsidRPr="008F0949">
        <w:rPr>
          <w:bCs/>
          <w:i/>
          <w:iCs/>
        </w:rPr>
        <w:t>Keywords</w:t>
      </w:r>
      <w:r w:rsidRPr="008F0949">
        <w:rPr>
          <w:bCs/>
        </w:rPr>
        <w:t>:</w:t>
      </w:r>
      <w:r w:rsidRPr="00D036F7">
        <w:t xml:space="preserve"> </w:t>
      </w:r>
      <w:r w:rsidRPr="00102E03">
        <w:t>Hugo Dummett, Oyu Tolgoi, Mongolia, juvenile, Sr-Nd-Hf-Pb isotopes</w:t>
      </w:r>
    </w:p>
    <w:p w14:paraId="44E0253F" w14:textId="77777777" w:rsidR="009551C1" w:rsidRDefault="009551C1" w:rsidP="009551C1">
      <w:pPr>
        <w:spacing w:line="240" w:lineRule="auto"/>
        <w:ind w:firstLine="0"/>
        <w:jc w:val="both"/>
        <w:rPr>
          <w:b/>
          <w:bCs/>
          <w:sz w:val="22"/>
          <w:szCs w:val="22"/>
        </w:rPr>
      </w:pPr>
      <w:r>
        <w:rPr>
          <w:b/>
          <w:bCs/>
          <w:sz w:val="22"/>
          <w:szCs w:val="22"/>
        </w:rPr>
        <w:t>Summary</w:t>
      </w:r>
    </w:p>
    <w:p w14:paraId="6601C610" w14:textId="77777777" w:rsidR="009551C1" w:rsidRPr="0024481F" w:rsidRDefault="009551C1" w:rsidP="009551C1">
      <w:pPr>
        <w:spacing w:line="240" w:lineRule="auto"/>
        <w:ind w:firstLine="0"/>
        <w:jc w:val="both"/>
        <w:rPr>
          <w:sz w:val="22"/>
          <w:szCs w:val="22"/>
        </w:rPr>
      </w:pPr>
      <w:r w:rsidRPr="0024481F">
        <w:rPr>
          <w:sz w:val="22"/>
          <w:szCs w:val="22"/>
        </w:rPr>
        <w:t>Major and trace element geochemistry including Sr-Nd-Pb-Hf isotopic data are presented for a representative sample suite of Late Devonian to Early Carboniferous plutonic and volcanic rocks from the Hugo Dummett deposit of the Oyu Tolgoi porphyry Cu-Au district in the South Gobi, Mongolia. All four isotopic systems suggest that the magmas from which the Oyu Tolgoi porphyry system was generated originated predominantly from juvenile material within subduction-related setting of Gurvansaihan terrane.</w:t>
      </w:r>
    </w:p>
    <w:p w14:paraId="6D184E65" w14:textId="77777777" w:rsidR="009551C1" w:rsidRPr="006C0E50" w:rsidRDefault="009551C1" w:rsidP="009551C1">
      <w:pPr>
        <w:spacing w:line="240" w:lineRule="auto"/>
        <w:ind w:firstLine="0"/>
        <w:jc w:val="both"/>
        <w:rPr>
          <w:b/>
          <w:bCs/>
          <w:sz w:val="22"/>
          <w:szCs w:val="22"/>
        </w:rPr>
      </w:pPr>
      <w:r w:rsidRPr="006C0E50">
        <w:rPr>
          <w:b/>
          <w:bCs/>
          <w:sz w:val="22"/>
          <w:szCs w:val="22"/>
        </w:rPr>
        <w:t>Introduction</w:t>
      </w:r>
    </w:p>
    <w:p w14:paraId="588458D3" w14:textId="77777777" w:rsidR="009551C1" w:rsidRPr="006C0E50" w:rsidRDefault="009551C1" w:rsidP="009551C1">
      <w:pPr>
        <w:spacing w:line="240" w:lineRule="auto"/>
        <w:ind w:firstLine="0"/>
        <w:jc w:val="both"/>
        <w:rPr>
          <w:sz w:val="22"/>
          <w:szCs w:val="22"/>
        </w:rPr>
      </w:pPr>
      <w:r w:rsidRPr="006C0E50">
        <w:rPr>
          <w:sz w:val="22"/>
          <w:szCs w:val="22"/>
        </w:rPr>
        <w:t xml:space="preserve">The Hugo Dummett copper-gold deposit is a part of the giant Oyu Tolgoi porphyry district in South Gobi of Mongolia. The district is situated within the Central Asian Orogenic Belt (CAOB), one of the largest orogens on Earth (Khain et al., 2003; Kröner et al., 2007). The CAOB (or the Altaid Tectonic Collage, Şengör et al., 1993) is a prime example of accretionary orogeny and represents a complex pattern of Neoproterozoic to Mesozoic orogenic belts. The Oyu Tolgoi group of deposits represent a typical porphyry system formed in an island-arc setting </w:t>
      </w:r>
      <w:bookmarkStart w:id="3" w:name="_Hlk193832630"/>
      <w:r w:rsidRPr="006C0E50">
        <w:rPr>
          <w:sz w:val="22"/>
          <w:szCs w:val="22"/>
        </w:rPr>
        <w:t xml:space="preserve">(Khashgerel et al., 2006). Whole-rock Sr, Nd, Pb and zircon Hf isotopic compositions are presented for Late Devonian to Early Carboniferous intrusions and their volcanic host rocks to infer their geotectonic setting, evaluate mechanisms of crustal generation, deﬁne the composition of mantle sources, and to estimate the role of juvenile crust at Oyu Tolgoi and nearby areas. </w:t>
      </w:r>
    </w:p>
    <w:bookmarkEnd w:id="3"/>
    <w:p w14:paraId="6850724A" w14:textId="77777777" w:rsidR="009551C1" w:rsidRPr="006C0E50" w:rsidRDefault="009551C1" w:rsidP="009551C1">
      <w:pPr>
        <w:spacing w:line="240" w:lineRule="auto"/>
        <w:ind w:firstLine="0"/>
        <w:jc w:val="both"/>
        <w:rPr>
          <w:b/>
          <w:bCs/>
          <w:sz w:val="22"/>
          <w:szCs w:val="22"/>
        </w:rPr>
      </w:pPr>
      <w:r w:rsidRPr="006C0E50">
        <w:rPr>
          <w:b/>
          <w:bCs/>
          <w:sz w:val="22"/>
          <w:szCs w:val="22"/>
        </w:rPr>
        <w:t>Geological Setting</w:t>
      </w:r>
    </w:p>
    <w:p w14:paraId="36F5105C" w14:textId="77777777" w:rsidR="005F2DC8" w:rsidRDefault="009551C1" w:rsidP="009551C1">
      <w:pPr>
        <w:spacing w:line="240" w:lineRule="auto"/>
        <w:ind w:firstLine="0"/>
        <w:jc w:val="both"/>
        <w:rPr>
          <w:sz w:val="22"/>
          <w:szCs w:val="22"/>
        </w:rPr>
      </w:pPr>
      <w:r w:rsidRPr="006C0E50">
        <w:rPr>
          <w:sz w:val="22"/>
          <w:szCs w:val="22"/>
        </w:rPr>
        <w:t xml:space="preserve">The Oyu Tolgoi deposits are situated 650 km south of the Mongolian capital Ulaanbaatar. The Oyu Tolgoi property comprises six main exploration prospects comprising Hugo Dummett (North and South), Central Oyu, South and Southwest Oyu, Heruga North and Heruga (Kavalieris et al., 2011). This study focuses mainly on the Hugo Dummett deposits that in plan view extend for over 3 km from SW to NE. The geology, alteration and mineralisation are similar at Hugo Dummett North and Hugo Dummett South (Khashgerel, 2006). Both deposits are hosted mainly by quartz monzodiorite. </w:t>
      </w:r>
    </w:p>
    <w:p w14:paraId="713D6057" w14:textId="7243A46F" w:rsidR="009551C1" w:rsidRPr="006C0E50" w:rsidRDefault="009551C1" w:rsidP="009551C1">
      <w:pPr>
        <w:spacing w:line="240" w:lineRule="auto"/>
        <w:ind w:firstLine="0"/>
        <w:jc w:val="both"/>
        <w:rPr>
          <w:sz w:val="22"/>
          <w:szCs w:val="22"/>
        </w:rPr>
      </w:pPr>
      <w:r w:rsidRPr="006C0E50">
        <w:rPr>
          <w:sz w:val="22"/>
          <w:szCs w:val="22"/>
        </w:rPr>
        <w:t xml:space="preserve">The high-grade (&gt;2.5% Cu) sulphide mineralization is associated with intense quartz veining and is comprised of bornite, chalcocite and chalcopyrite, with bornite being predominant. Pyrite, enargite and tetrahedrite-tennantite occur in subordinate amounts, mainly in the Hugo Dummett South. Advanced argillic alteration within </w:t>
      </w:r>
      <w:r w:rsidR="00127637">
        <w:rPr>
          <w:sz w:val="22"/>
          <w:szCs w:val="22"/>
        </w:rPr>
        <w:t xml:space="preserve">the </w:t>
      </w:r>
      <w:r w:rsidRPr="006C0E50">
        <w:rPr>
          <w:sz w:val="22"/>
          <w:szCs w:val="22"/>
        </w:rPr>
        <w:t>tuffs is accompanied by alunite, pyrophyllite, diaspore, dickite, topaz, zunyite and fluorite.</w:t>
      </w:r>
    </w:p>
    <w:p w14:paraId="5AA5D32E" w14:textId="77777777" w:rsidR="009551C1" w:rsidRPr="006C0E50" w:rsidRDefault="009551C1" w:rsidP="009551C1">
      <w:pPr>
        <w:spacing w:line="240" w:lineRule="auto"/>
        <w:ind w:firstLine="0"/>
        <w:jc w:val="both"/>
        <w:rPr>
          <w:b/>
          <w:sz w:val="22"/>
          <w:szCs w:val="22"/>
        </w:rPr>
      </w:pPr>
      <w:r w:rsidRPr="006C0E50">
        <w:rPr>
          <w:b/>
          <w:sz w:val="22"/>
          <w:szCs w:val="22"/>
        </w:rPr>
        <w:t>Discussion and conclusions</w:t>
      </w:r>
    </w:p>
    <w:p w14:paraId="26A36301" w14:textId="77777777" w:rsidR="009551C1" w:rsidRPr="00984003" w:rsidRDefault="009551C1" w:rsidP="009551C1">
      <w:pPr>
        <w:spacing w:line="240" w:lineRule="auto"/>
        <w:ind w:firstLine="0"/>
        <w:jc w:val="both"/>
        <w:rPr>
          <w:i/>
          <w:iCs/>
          <w:sz w:val="22"/>
          <w:szCs w:val="22"/>
        </w:rPr>
      </w:pPr>
      <w:r w:rsidRPr="00984003">
        <w:rPr>
          <w:i/>
          <w:iCs/>
          <w:sz w:val="22"/>
          <w:szCs w:val="22"/>
        </w:rPr>
        <w:t>Effects of alteration</w:t>
      </w:r>
    </w:p>
    <w:p w14:paraId="6519E84A" w14:textId="77777777" w:rsidR="009551C1" w:rsidRPr="006C0E50" w:rsidRDefault="009551C1" w:rsidP="009551C1">
      <w:pPr>
        <w:spacing w:line="240" w:lineRule="auto"/>
        <w:ind w:firstLine="0"/>
        <w:jc w:val="both"/>
        <w:rPr>
          <w:sz w:val="22"/>
          <w:szCs w:val="22"/>
        </w:rPr>
      </w:pPr>
      <w:r w:rsidRPr="006C0E50">
        <w:rPr>
          <w:sz w:val="22"/>
          <w:szCs w:val="22"/>
        </w:rPr>
        <w:t xml:space="preserve">The data fall comfortably within the "mantle array" in the depleted-source values of the </w:t>
      </w:r>
      <w:r w:rsidRPr="006C0E50">
        <w:rPr>
          <w:sz w:val="22"/>
          <w:szCs w:val="22"/>
          <w:vertAlign w:val="superscript"/>
        </w:rPr>
        <w:t>87</w:t>
      </w:r>
      <w:r w:rsidRPr="006C0E50">
        <w:rPr>
          <w:sz w:val="22"/>
          <w:szCs w:val="22"/>
        </w:rPr>
        <w:t>Sr/</w:t>
      </w:r>
      <w:r w:rsidRPr="006C0E50">
        <w:rPr>
          <w:sz w:val="22"/>
          <w:szCs w:val="22"/>
          <w:vertAlign w:val="superscript"/>
        </w:rPr>
        <w:t>86</w:t>
      </w:r>
      <w:r w:rsidRPr="006C0E50">
        <w:rPr>
          <w:sz w:val="22"/>
          <w:szCs w:val="22"/>
        </w:rPr>
        <w:t>Srt; this could reflect either variations in the source region, or relatively minor degree of contamination of the most LIL-depleted examples. There is no evidence for massive contamination with crustal radiogenic Sr, for example. Sr and Nd isotope data yield conclusions as to a LIL-depleted source that are fully consistent with the evidence of Hf isotopes in zircon. Even if it were admitted that the Sr, Nd and Pb isotope systems were the product of complete equilibration with hydrothermal solutions, these would necessarily have also originated within the same magmatic system, and the alteration must have occurred very soon after igneous crystallization for all four isotope systems to record and maintain the same signature.</w:t>
      </w:r>
    </w:p>
    <w:p w14:paraId="2DF1514D" w14:textId="77777777" w:rsidR="009551C1" w:rsidRPr="00984003" w:rsidRDefault="009551C1" w:rsidP="009551C1">
      <w:pPr>
        <w:spacing w:line="240" w:lineRule="auto"/>
        <w:ind w:firstLine="0"/>
        <w:jc w:val="both"/>
        <w:rPr>
          <w:i/>
          <w:iCs/>
          <w:sz w:val="22"/>
          <w:szCs w:val="22"/>
        </w:rPr>
      </w:pPr>
      <w:r w:rsidRPr="00984003">
        <w:rPr>
          <w:i/>
          <w:iCs/>
          <w:sz w:val="22"/>
          <w:szCs w:val="22"/>
        </w:rPr>
        <w:t>Indications of juvenile magmatism</w:t>
      </w:r>
    </w:p>
    <w:p w14:paraId="1DC8B876" w14:textId="77777777" w:rsidR="009551C1" w:rsidRPr="006C0E50" w:rsidRDefault="009551C1" w:rsidP="009551C1">
      <w:pPr>
        <w:spacing w:line="240" w:lineRule="auto"/>
        <w:ind w:firstLine="0"/>
        <w:jc w:val="both"/>
        <w:rPr>
          <w:sz w:val="22"/>
          <w:szCs w:val="22"/>
        </w:rPr>
      </w:pPr>
      <w:r w:rsidRPr="006C0E50">
        <w:rPr>
          <w:sz w:val="22"/>
          <w:szCs w:val="22"/>
        </w:rPr>
        <w:t xml:space="preserve">Sr and Nd isotopes (whole-rock) show restricted ranges of initial compositions, with positive </w:t>
      </w:r>
      <w:bookmarkStart w:id="4" w:name="_Hlk193832027"/>
      <w:r w:rsidRPr="006C0E50">
        <w:rPr>
          <w:sz w:val="22"/>
          <w:szCs w:val="22"/>
        </w:rPr>
        <w:t>ε</w:t>
      </w:r>
      <w:bookmarkEnd w:id="4"/>
      <w:r w:rsidRPr="006C0E50">
        <w:rPr>
          <w:sz w:val="22"/>
          <w:szCs w:val="22"/>
        </w:rPr>
        <w:t>Ndt mainly between +3.4 and +7.4 (Figure 1) and (</w:t>
      </w:r>
      <w:r w:rsidRPr="006C0E50">
        <w:rPr>
          <w:sz w:val="22"/>
          <w:szCs w:val="22"/>
          <w:vertAlign w:val="superscript"/>
        </w:rPr>
        <w:t>87</w:t>
      </w:r>
      <w:r w:rsidRPr="006C0E50">
        <w:rPr>
          <w:sz w:val="22"/>
          <w:szCs w:val="22"/>
        </w:rPr>
        <w:t>Sr/</w:t>
      </w:r>
      <w:r w:rsidRPr="006C0E50">
        <w:rPr>
          <w:sz w:val="22"/>
          <w:szCs w:val="22"/>
          <w:vertAlign w:val="superscript"/>
        </w:rPr>
        <w:t>86</w:t>
      </w:r>
      <w:r w:rsidRPr="006C0E50">
        <w:rPr>
          <w:sz w:val="22"/>
          <w:szCs w:val="22"/>
        </w:rPr>
        <w:t xml:space="preserve">Sr)t predominantly between 0.7037 and 0.7045 reflecting </w:t>
      </w:r>
      <w:r w:rsidRPr="006C0E50">
        <w:rPr>
          <w:sz w:val="22"/>
          <w:szCs w:val="22"/>
        </w:rPr>
        <w:lastRenderedPageBreak/>
        <w:t xml:space="preserve">magma generation from a relatively uniform juvenile lithophile-element depleted source. Previously dated zircons from the plutonic rocks exhibit a sample-averaged range of εHft values of +11.6 to +14.5 (Figure 1). Depleted-mantle model ages of 420-830 (Nd) and 320-730 Ma (zircon Hf) limit the involvement of pre-Neoproterozoic crust in the petrogenesis of the intermediate to felsic calc-alkaline magmas to, at most, a minor role. Pb isotopes (whole-rock) show a narrow range of unradiogenic initial compositions: </w:t>
      </w:r>
      <w:r w:rsidRPr="006C0E50">
        <w:rPr>
          <w:sz w:val="22"/>
          <w:szCs w:val="22"/>
          <w:vertAlign w:val="superscript"/>
        </w:rPr>
        <w:t>206</w:t>
      </w:r>
      <w:r w:rsidRPr="006C0E50">
        <w:rPr>
          <w:sz w:val="22"/>
          <w:szCs w:val="22"/>
        </w:rPr>
        <w:t>Pb/</w:t>
      </w:r>
      <w:r w:rsidRPr="006C0E50">
        <w:rPr>
          <w:sz w:val="22"/>
          <w:szCs w:val="22"/>
          <w:vertAlign w:val="superscript"/>
        </w:rPr>
        <w:t>204</w:t>
      </w:r>
      <w:r w:rsidRPr="006C0E50">
        <w:rPr>
          <w:sz w:val="22"/>
          <w:szCs w:val="22"/>
        </w:rPr>
        <w:t xml:space="preserve">Pb 17.40-17.94, </w:t>
      </w:r>
      <w:r w:rsidRPr="006C0E50">
        <w:rPr>
          <w:sz w:val="22"/>
          <w:szCs w:val="22"/>
          <w:vertAlign w:val="superscript"/>
        </w:rPr>
        <w:t>207</w:t>
      </w:r>
      <w:r w:rsidRPr="006C0E50">
        <w:rPr>
          <w:sz w:val="22"/>
          <w:szCs w:val="22"/>
        </w:rPr>
        <w:t>Pb/</w:t>
      </w:r>
      <w:r w:rsidRPr="006C0E50">
        <w:rPr>
          <w:sz w:val="22"/>
          <w:szCs w:val="22"/>
          <w:vertAlign w:val="superscript"/>
        </w:rPr>
        <w:t>204</w:t>
      </w:r>
      <w:r w:rsidRPr="006C0E50">
        <w:rPr>
          <w:sz w:val="22"/>
          <w:szCs w:val="22"/>
        </w:rPr>
        <w:t xml:space="preserve">Pb 15.43-15.49 and </w:t>
      </w:r>
      <w:r w:rsidRPr="006C0E50">
        <w:rPr>
          <w:sz w:val="22"/>
          <w:szCs w:val="22"/>
          <w:vertAlign w:val="superscript"/>
        </w:rPr>
        <w:t>208</w:t>
      </w:r>
      <w:r w:rsidRPr="006C0E50">
        <w:rPr>
          <w:sz w:val="22"/>
          <w:szCs w:val="22"/>
        </w:rPr>
        <w:t>Pb/</w:t>
      </w:r>
      <w:r w:rsidRPr="006C0E50">
        <w:rPr>
          <w:sz w:val="22"/>
          <w:szCs w:val="22"/>
          <w:vertAlign w:val="superscript"/>
        </w:rPr>
        <w:t>204</w:t>
      </w:r>
      <w:r w:rsidRPr="006C0E50">
        <w:rPr>
          <w:sz w:val="22"/>
          <w:szCs w:val="22"/>
        </w:rPr>
        <w:t xml:space="preserve">Pb 37.25-37.64, in agreement with Sr-Nd-Hf isotopes indicating the dominance of a mantle component. All four isotopic systems suggest that the magmas from which the large Oyu Tolgoi porphyry system was generated originated predominantly from juvenile material within the subduction-related setting of the Gurvansaihan terrane. </w:t>
      </w:r>
    </w:p>
    <w:p w14:paraId="38595744" w14:textId="77777777" w:rsidR="009551C1" w:rsidRDefault="009551C1" w:rsidP="009551C1">
      <w:pPr>
        <w:spacing w:line="240" w:lineRule="auto"/>
        <w:ind w:firstLine="0"/>
        <w:jc w:val="center"/>
        <w:rPr>
          <w:b/>
          <w:bCs/>
          <w:sz w:val="22"/>
          <w:szCs w:val="22"/>
        </w:rPr>
      </w:pPr>
      <w:r w:rsidRPr="009E3AFF">
        <w:rPr>
          <w:b/>
          <w:noProof/>
          <w:szCs w:val="24"/>
          <w:lang w:eastAsia="en-GB"/>
        </w:rPr>
        <w:drawing>
          <wp:inline distT="0" distB="0" distL="0" distR="0" wp14:anchorId="2A52E70B" wp14:editId="4976557B">
            <wp:extent cx="4743450" cy="3354566"/>
            <wp:effectExtent l="0" t="0" r="0" b="0"/>
            <wp:docPr id="1" name="Picture 1" descr="\\amber\kazalt\CERCAMS\Publications\Alla's publications\Isotope paper\RESUBMISSION\Figures_final\Figure13_f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ber\kazalt\CERCAMS\Publications\Alla's publications\Isotope paper\RESUBMISSION\Figures_final\Figure13_f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46341" cy="3356610"/>
                    </a:xfrm>
                    <a:prstGeom prst="rect">
                      <a:avLst/>
                    </a:prstGeom>
                    <a:noFill/>
                    <a:ln>
                      <a:noFill/>
                    </a:ln>
                  </pic:spPr>
                </pic:pic>
              </a:graphicData>
            </a:graphic>
          </wp:inline>
        </w:drawing>
      </w:r>
    </w:p>
    <w:p w14:paraId="5675A1B8" w14:textId="77777777" w:rsidR="009551C1" w:rsidRPr="00FF6505" w:rsidRDefault="009551C1" w:rsidP="009551C1">
      <w:pPr>
        <w:spacing w:line="240" w:lineRule="auto"/>
        <w:ind w:firstLine="0"/>
        <w:jc w:val="both"/>
        <w:rPr>
          <w:sz w:val="22"/>
          <w:szCs w:val="22"/>
        </w:rPr>
      </w:pPr>
      <w:r>
        <w:rPr>
          <w:b/>
          <w:bCs/>
          <w:sz w:val="22"/>
          <w:szCs w:val="22"/>
        </w:rPr>
        <w:t>F</w:t>
      </w:r>
      <w:r w:rsidRPr="00FF6505">
        <w:rPr>
          <w:b/>
          <w:bCs/>
          <w:sz w:val="22"/>
          <w:szCs w:val="22"/>
        </w:rPr>
        <w:t>igure 1.</w:t>
      </w:r>
      <w:r w:rsidRPr="00FF6505">
        <w:rPr>
          <w:sz w:val="22"/>
          <w:szCs w:val="22"/>
        </w:rPr>
        <w:t xml:space="preserve"> εHf and εNd data plotted for the South Gobi area (compilation of the CERCAMS Altaids project).  </w:t>
      </w:r>
    </w:p>
    <w:p w14:paraId="79C9FDC3" w14:textId="77777777" w:rsidR="009551C1" w:rsidRPr="004F258A" w:rsidRDefault="009551C1" w:rsidP="009551C1">
      <w:pPr>
        <w:pStyle w:val="Heading1"/>
        <w:spacing w:line="240" w:lineRule="auto"/>
        <w:rPr>
          <w:sz w:val="22"/>
          <w:szCs w:val="22"/>
        </w:rPr>
      </w:pPr>
      <w:r w:rsidRPr="004F258A">
        <w:rPr>
          <w:sz w:val="22"/>
          <w:szCs w:val="22"/>
        </w:rPr>
        <w:t>Acknowledgments</w:t>
      </w:r>
    </w:p>
    <w:p w14:paraId="55190D96" w14:textId="77777777" w:rsidR="009551C1" w:rsidRPr="005D16AE" w:rsidRDefault="009551C1" w:rsidP="009551C1">
      <w:pPr>
        <w:spacing w:line="240" w:lineRule="auto"/>
        <w:ind w:firstLine="0"/>
        <w:jc w:val="both"/>
        <w:rPr>
          <w:sz w:val="22"/>
          <w:szCs w:val="22"/>
        </w:rPr>
      </w:pPr>
      <w:r w:rsidRPr="005D16AE">
        <w:rPr>
          <w:sz w:val="22"/>
          <w:szCs w:val="22"/>
        </w:rPr>
        <w:t>Ivanhoe Mines Mongolia is thanked for its continuous support and for providing samples for this study. Douglas Kirwin is especially thanked for support and inspiration. The Hf analytical data were obtained using instrumentation funded by DEST Systemic Infrastructure Grants, ARC LIEF, NCRIS, industry partners and Macquarie University. This is a contribution to IGCP-592 sponsored by UNESCO-IUGS.</w:t>
      </w:r>
    </w:p>
    <w:p w14:paraId="3D2B1520" w14:textId="77777777" w:rsidR="009551C1" w:rsidRPr="00FF6505" w:rsidRDefault="009551C1" w:rsidP="009551C1">
      <w:pPr>
        <w:spacing w:line="240" w:lineRule="auto"/>
        <w:ind w:firstLine="0"/>
        <w:jc w:val="both"/>
        <w:rPr>
          <w:b/>
          <w:bCs/>
          <w:sz w:val="22"/>
          <w:szCs w:val="22"/>
        </w:rPr>
      </w:pPr>
      <w:r w:rsidRPr="00FF6505">
        <w:rPr>
          <w:b/>
          <w:bCs/>
          <w:sz w:val="22"/>
          <w:szCs w:val="22"/>
        </w:rPr>
        <w:t>References</w:t>
      </w:r>
    </w:p>
    <w:p w14:paraId="38D63A1A" w14:textId="281CE936" w:rsidR="009551C1" w:rsidRPr="00C03678" w:rsidRDefault="009551C1" w:rsidP="009551C1">
      <w:pPr>
        <w:spacing w:after="0" w:line="240" w:lineRule="auto"/>
        <w:ind w:left="284" w:hanging="284"/>
        <w:jc w:val="both"/>
        <w:rPr>
          <w:strike/>
          <w:sz w:val="22"/>
          <w:szCs w:val="22"/>
        </w:rPr>
      </w:pPr>
      <w:r w:rsidRPr="00FF6505">
        <w:rPr>
          <w:sz w:val="22"/>
          <w:szCs w:val="22"/>
        </w:rPr>
        <w:t xml:space="preserve">Kavalieris, I., Rinchin, O., Gombojav, J., Gombosuren, N., Crane, D., Orssich, C. &amp; Khashgerel, B.-E. </w:t>
      </w:r>
      <w:r>
        <w:rPr>
          <w:sz w:val="22"/>
          <w:szCs w:val="22"/>
        </w:rPr>
        <w:t>(</w:t>
      </w:r>
      <w:r w:rsidRPr="00FF6505">
        <w:rPr>
          <w:sz w:val="22"/>
          <w:szCs w:val="22"/>
        </w:rPr>
        <w:t>2011</w:t>
      </w:r>
      <w:r>
        <w:rPr>
          <w:sz w:val="22"/>
          <w:szCs w:val="22"/>
        </w:rPr>
        <w:t>)</w:t>
      </w:r>
      <w:r w:rsidRPr="00FF6505">
        <w:rPr>
          <w:sz w:val="22"/>
          <w:szCs w:val="22"/>
        </w:rPr>
        <w:t xml:space="preserve"> Characteristics of the Oyu Tolgoi porphyry deposits, South Gobi, Mongolia. Abstract volume, 11th SGA Biennial Meeting, Antofagasta, Chile, September 26</w:t>
      </w:r>
      <w:r>
        <w:rPr>
          <w:sz w:val="22"/>
          <w:szCs w:val="22"/>
        </w:rPr>
        <w:t>-</w:t>
      </w:r>
      <w:r w:rsidRPr="00FF6505">
        <w:rPr>
          <w:sz w:val="22"/>
          <w:szCs w:val="22"/>
        </w:rPr>
        <w:t>29, 2011, A111.</w:t>
      </w:r>
    </w:p>
    <w:p w14:paraId="0D7FCA3F" w14:textId="77777777" w:rsidR="009551C1" w:rsidRPr="00FF6505" w:rsidRDefault="009551C1" w:rsidP="009551C1">
      <w:pPr>
        <w:spacing w:after="0" w:line="240" w:lineRule="auto"/>
        <w:ind w:left="284" w:hanging="284"/>
        <w:jc w:val="both"/>
        <w:rPr>
          <w:sz w:val="22"/>
          <w:szCs w:val="22"/>
        </w:rPr>
      </w:pPr>
      <w:r w:rsidRPr="00FF6505">
        <w:rPr>
          <w:sz w:val="22"/>
          <w:szCs w:val="22"/>
        </w:rPr>
        <w:t xml:space="preserve">Khashgerel, B.-E., Rye, R.O., Hedenquist, J.W. &amp; Kavalieris, I. </w:t>
      </w:r>
      <w:r>
        <w:rPr>
          <w:sz w:val="22"/>
          <w:szCs w:val="22"/>
        </w:rPr>
        <w:t>(</w:t>
      </w:r>
      <w:r w:rsidRPr="00FF6505">
        <w:rPr>
          <w:sz w:val="22"/>
          <w:szCs w:val="22"/>
        </w:rPr>
        <w:t>2006</w:t>
      </w:r>
      <w:r>
        <w:rPr>
          <w:sz w:val="22"/>
          <w:szCs w:val="22"/>
        </w:rPr>
        <w:t>)</w:t>
      </w:r>
      <w:r w:rsidRPr="00FF6505">
        <w:rPr>
          <w:sz w:val="22"/>
          <w:szCs w:val="22"/>
        </w:rPr>
        <w:t xml:space="preserve"> Geology and reconnaissance stable isotope study of the Oyu Tolgoi porphyry Cu–Au system, South Gobi, Mongolia. Economic Geology 101, 503</w:t>
      </w:r>
      <w:r>
        <w:rPr>
          <w:sz w:val="22"/>
          <w:szCs w:val="22"/>
        </w:rPr>
        <w:t>-</w:t>
      </w:r>
      <w:r w:rsidRPr="00FF6505">
        <w:rPr>
          <w:sz w:val="22"/>
          <w:szCs w:val="22"/>
        </w:rPr>
        <w:t xml:space="preserve">522. </w:t>
      </w:r>
    </w:p>
    <w:p w14:paraId="7A7E7B58" w14:textId="77777777" w:rsidR="009551C1" w:rsidRPr="00FF6505" w:rsidRDefault="009551C1" w:rsidP="009551C1">
      <w:pPr>
        <w:spacing w:after="0" w:line="240" w:lineRule="auto"/>
        <w:ind w:left="284" w:hanging="284"/>
        <w:jc w:val="both"/>
        <w:rPr>
          <w:sz w:val="22"/>
          <w:szCs w:val="22"/>
        </w:rPr>
      </w:pPr>
      <w:r w:rsidRPr="00FF6505">
        <w:rPr>
          <w:sz w:val="22"/>
          <w:szCs w:val="22"/>
        </w:rPr>
        <w:t>Kröner, A., Windley, B.F., Badarch, G., Tomurtogoo, O., Hegner, E., Jahn, B.B., Grushka, S., Khain, E.V., Demoux, A. &amp; Wingate, M.T.D.</w:t>
      </w:r>
      <w:r>
        <w:rPr>
          <w:sz w:val="22"/>
          <w:szCs w:val="22"/>
        </w:rPr>
        <w:t xml:space="preserve"> (</w:t>
      </w:r>
      <w:r w:rsidRPr="00FF6505">
        <w:rPr>
          <w:sz w:val="22"/>
          <w:szCs w:val="22"/>
        </w:rPr>
        <w:t>2007</w:t>
      </w:r>
      <w:r>
        <w:rPr>
          <w:sz w:val="22"/>
          <w:szCs w:val="22"/>
        </w:rPr>
        <w:t>)</w:t>
      </w:r>
      <w:r w:rsidRPr="00FF6505">
        <w:rPr>
          <w:sz w:val="22"/>
          <w:szCs w:val="22"/>
        </w:rPr>
        <w:t xml:space="preserve"> Accretionary growth and crust-formation in the Central Asian Orogenic Belt and comparison with the Arabian–Nubian shield. Geological Society of America, Memoirs 200: 181-209.</w:t>
      </w:r>
    </w:p>
    <w:p w14:paraId="4C94BED8" w14:textId="60855A34" w:rsidR="00FF667A" w:rsidRPr="009551C1" w:rsidRDefault="009551C1" w:rsidP="00C03678">
      <w:pPr>
        <w:spacing w:after="0" w:line="240" w:lineRule="auto"/>
        <w:ind w:left="284" w:hanging="284"/>
        <w:jc w:val="both"/>
        <w:rPr>
          <w:sz w:val="22"/>
          <w:szCs w:val="22"/>
        </w:rPr>
      </w:pPr>
      <w:r w:rsidRPr="00FF6505">
        <w:rPr>
          <w:sz w:val="22"/>
          <w:szCs w:val="22"/>
        </w:rPr>
        <w:t>Şengör, A.M.C., Natal’in, B.A.</w:t>
      </w:r>
      <w:r w:rsidR="00324333">
        <w:rPr>
          <w:sz w:val="22"/>
          <w:szCs w:val="22"/>
        </w:rPr>
        <w:t xml:space="preserve"> &amp; </w:t>
      </w:r>
      <w:r w:rsidRPr="00FF6505">
        <w:rPr>
          <w:sz w:val="22"/>
          <w:szCs w:val="22"/>
        </w:rPr>
        <w:t>Burtman, V.S.</w:t>
      </w:r>
      <w:r>
        <w:rPr>
          <w:sz w:val="22"/>
          <w:szCs w:val="22"/>
        </w:rPr>
        <w:t xml:space="preserve"> (</w:t>
      </w:r>
      <w:r w:rsidRPr="00FF6505">
        <w:rPr>
          <w:sz w:val="22"/>
          <w:szCs w:val="22"/>
        </w:rPr>
        <w:t>1993</w:t>
      </w:r>
      <w:r>
        <w:rPr>
          <w:sz w:val="22"/>
          <w:szCs w:val="22"/>
        </w:rPr>
        <w:t>)</w:t>
      </w:r>
      <w:r w:rsidRPr="00FF6505">
        <w:rPr>
          <w:sz w:val="22"/>
          <w:szCs w:val="22"/>
        </w:rPr>
        <w:t xml:space="preserve"> Evolution of the Altaid tectonic</w:t>
      </w:r>
      <w:r>
        <w:rPr>
          <w:sz w:val="22"/>
          <w:szCs w:val="22"/>
        </w:rPr>
        <w:t xml:space="preserve"> </w:t>
      </w:r>
      <w:r w:rsidRPr="00FF6505">
        <w:rPr>
          <w:sz w:val="22"/>
          <w:szCs w:val="22"/>
        </w:rPr>
        <w:t>collage and Paleozoic crustal growth in Eurasia: Nature 364, 299</w:t>
      </w:r>
      <w:r>
        <w:rPr>
          <w:sz w:val="22"/>
          <w:szCs w:val="22"/>
        </w:rPr>
        <w:t>-</w:t>
      </w:r>
      <w:r w:rsidRPr="00FF6505">
        <w:rPr>
          <w:sz w:val="22"/>
          <w:szCs w:val="22"/>
        </w:rPr>
        <w:t>307.</w:t>
      </w:r>
    </w:p>
    <w:sectPr w:rsidR="00FF667A" w:rsidRPr="009551C1" w:rsidSect="00333C34">
      <w:footerReference w:type="default" r:id="rId10"/>
      <w:pgSz w:w="12240" w:h="15840"/>
      <w:pgMar w:top="851" w:right="1418" w:bottom="851"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633A8" w14:textId="77777777" w:rsidR="006626F9" w:rsidRDefault="006626F9">
      <w:r>
        <w:separator/>
      </w:r>
    </w:p>
  </w:endnote>
  <w:endnote w:type="continuationSeparator" w:id="0">
    <w:p w14:paraId="676B8439" w14:textId="77777777" w:rsidR="006626F9" w:rsidRDefault="00662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1BF58" w14:textId="57828293" w:rsidR="004D7180" w:rsidRPr="003A372D" w:rsidRDefault="003A372D" w:rsidP="003A372D">
    <w:pPr>
      <w:pStyle w:val="Footer"/>
    </w:pPr>
    <w:r>
      <w:tab/>
      <w:t xml:space="preserve">- </w:t>
    </w:r>
    <w:r>
      <w:fldChar w:fldCharType="begin"/>
    </w:r>
    <w:r>
      <w:instrText xml:space="preserve"> PAGE </w:instrText>
    </w:r>
    <w:r>
      <w:fldChar w:fldCharType="separate"/>
    </w:r>
    <w:r w:rsidR="005D28B2">
      <w:rPr>
        <w:noProof/>
      </w:rPr>
      <w:t>1</w:t>
    </w:r>
    <w:r>
      <w:fldChar w:fldCharType="end"/>
    </w:r>
    <w:r>
      <w:t xml:space="preserve"> -</w:t>
    </w:r>
    <w:r>
      <w:tab/>
    </w:r>
    <w:r w:rsidR="000E7C4A">
      <w:t>IAGOD 2026</w:t>
    </w:r>
    <w:r w:rsidR="005A1F12">
      <w:t xml:space="preserve"> extended abstract volume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579B4" w14:textId="77777777" w:rsidR="006626F9" w:rsidRDefault="006626F9">
      <w:r>
        <w:separator/>
      </w:r>
    </w:p>
  </w:footnote>
  <w:footnote w:type="continuationSeparator" w:id="0">
    <w:p w14:paraId="0BCE7479" w14:textId="77777777" w:rsidR="006626F9" w:rsidRDefault="006626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8CCA06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C6EC44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22ED28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D22763A"/>
    <w:lvl w:ilvl="0">
      <w:start w:val="1"/>
      <w:numFmt w:val="lowerLetter"/>
      <w:pStyle w:val="ListNumber2"/>
      <w:lvlText w:val="%1)"/>
      <w:lvlJc w:val="left"/>
      <w:pPr>
        <w:tabs>
          <w:tab w:val="num" w:pos="720"/>
        </w:tabs>
        <w:ind w:left="720" w:hanging="360"/>
      </w:pPr>
      <w:rPr>
        <w:rFonts w:hint="default"/>
      </w:rPr>
    </w:lvl>
  </w:abstractNum>
  <w:abstractNum w:abstractNumId="4" w15:restartNumberingAfterBreak="0">
    <w:nsid w:val="FFFFFF80"/>
    <w:multiLevelType w:val="singleLevel"/>
    <w:tmpl w:val="AA90F3B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5CCEAF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4FC507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59CB45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C3A5AF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3CE289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AD40D2"/>
    <w:multiLevelType w:val="singleLevel"/>
    <w:tmpl w:val="100AC80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2452DF"/>
    <w:multiLevelType w:val="singleLevel"/>
    <w:tmpl w:val="3F923688"/>
    <w:lvl w:ilvl="0">
      <w:start w:val="1"/>
      <w:numFmt w:val="bullet"/>
      <w:lvlText w:val=""/>
      <w:lvlJc w:val="left"/>
      <w:pPr>
        <w:tabs>
          <w:tab w:val="num" w:pos="360"/>
        </w:tabs>
        <w:ind w:left="360" w:hanging="360"/>
      </w:pPr>
      <w:rPr>
        <w:rFonts w:ascii="Symbol" w:hAnsi="Symbol" w:hint="default"/>
      </w:rPr>
    </w:lvl>
  </w:abstractNum>
  <w:num w:numId="1" w16cid:durableId="939946854">
    <w:abstractNumId w:val="11"/>
  </w:num>
  <w:num w:numId="2" w16cid:durableId="1717268241">
    <w:abstractNumId w:val="10"/>
  </w:num>
  <w:num w:numId="3" w16cid:durableId="132795459">
    <w:abstractNumId w:val="9"/>
  </w:num>
  <w:num w:numId="4" w16cid:durableId="1980377032">
    <w:abstractNumId w:val="8"/>
  </w:num>
  <w:num w:numId="5" w16cid:durableId="1526596958">
    <w:abstractNumId w:val="7"/>
  </w:num>
  <w:num w:numId="6" w16cid:durableId="1532231899">
    <w:abstractNumId w:val="3"/>
  </w:num>
  <w:num w:numId="7" w16cid:durableId="1484155494">
    <w:abstractNumId w:val="6"/>
  </w:num>
  <w:num w:numId="8" w16cid:durableId="752168116">
    <w:abstractNumId w:val="5"/>
  </w:num>
  <w:num w:numId="9" w16cid:durableId="833565208">
    <w:abstractNumId w:val="4"/>
  </w:num>
  <w:num w:numId="10" w16cid:durableId="2033915234">
    <w:abstractNumId w:val="2"/>
  </w:num>
  <w:num w:numId="11" w16cid:durableId="1545560313">
    <w:abstractNumId w:val="1"/>
  </w:num>
  <w:num w:numId="12" w16cid:durableId="135267244">
    <w:abstractNumId w:val="3"/>
    <w:lvlOverride w:ilvl="0">
      <w:startOverride w:val="1"/>
    </w:lvlOverride>
  </w:num>
  <w:num w:numId="13" w16cid:durableId="1439060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trackedChanges" w:enforcement="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8F4"/>
    <w:rsid w:val="00002992"/>
    <w:rsid w:val="00010B42"/>
    <w:rsid w:val="00010DA9"/>
    <w:rsid w:val="00016A7C"/>
    <w:rsid w:val="00040FFE"/>
    <w:rsid w:val="0005527B"/>
    <w:rsid w:val="00076FEB"/>
    <w:rsid w:val="000801E6"/>
    <w:rsid w:val="00090859"/>
    <w:rsid w:val="000964DD"/>
    <w:rsid w:val="000A4B7F"/>
    <w:rsid w:val="000B6CDE"/>
    <w:rsid w:val="000B7328"/>
    <w:rsid w:val="000B7B54"/>
    <w:rsid w:val="000C42EC"/>
    <w:rsid w:val="000C45DF"/>
    <w:rsid w:val="000D5359"/>
    <w:rsid w:val="000E07FE"/>
    <w:rsid w:val="000E74DF"/>
    <w:rsid w:val="000E7C4A"/>
    <w:rsid w:val="000F3B56"/>
    <w:rsid w:val="000F55BB"/>
    <w:rsid w:val="00100462"/>
    <w:rsid w:val="00105EAB"/>
    <w:rsid w:val="00111C68"/>
    <w:rsid w:val="00115468"/>
    <w:rsid w:val="00116D33"/>
    <w:rsid w:val="00127637"/>
    <w:rsid w:val="001379AB"/>
    <w:rsid w:val="00141D5E"/>
    <w:rsid w:val="00142798"/>
    <w:rsid w:val="001503FF"/>
    <w:rsid w:val="00152122"/>
    <w:rsid w:val="00164516"/>
    <w:rsid w:val="00170122"/>
    <w:rsid w:val="00170D5D"/>
    <w:rsid w:val="00180A46"/>
    <w:rsid w:val="00187BB6"/>
    <w:rsid w:val="00192B23"/>
    <w:rsid w:val="00195620"/>
    <w:rsid w:val="001A3671"/>
    <w:rsid w:val="001B0B9A"/>
    <w:rsid w:val="001B0D04"/>
    <w:rsid w:val="001C2CD0"/>
    <w:rsid w:val="001C6EBC"/>
    <w:rsid w:val="001D7149"/>
    <w:rsid w:val="001F0554"/>
    <w:rsid w:val="001F451A"/>
    <w:rsid w:val="00216D65"/>
    <w:rsid w:val="00217FAA"/>
    <w:rsid w:val="00220099"/>
    <w:rsid w:val="0022015B"/>
    <w:rsid w:val="00220961"/>
    <w:rsid w:val="00223620"/>
    <w:rsid w:val="00234D36"/>
    <w:rsid w:val="00236884"/>
    <w:rsid w:val="00243B55"/>
    <w:rsid w:val="002478AE"/>
    <w:rsid w:val="00252C42"/>
    <w:rsid w:val="00256B8A"/>
    <w:rsid w:val="002571E9"/>
    <w:rsid w:val="00260E93"/>
    <w:rsid w:val="0026217B"/>
    <w:rsid w:val="00262367"/>
    <w:rsid w:val="00262AA8"/>
    <w:rsid w:val="00267602"/>
    <w:rsid w:val="00271CF7"/>
    <w:rsid w:val="00275342"/>
    <w:rsid w:val="00282747"/>
    <w:rsid w:val="0028542B"/>
    <w:rsid w:val="00297F20"/>
    <w:rsid w:val="002A5B0B"/>
    <w:rsid w:val="002A69DB"/>
    <w:rsid w:val="002B0E53"/>
    <w:rsid w:val="002C250B"/>
    <w:rsid w:val="002C73B7"/>
    <w:rsid w:val="002C76FE"/>
    <w:rsid w:val="002C7907"/>
    <w:rsid w:val="002D1D21"/>
    <w:rsid w:val="002E1F8D"/>
    <w:rsid w:val="002F248B"/>
    <w:rsid w:val="003001F1"/>
    <w:rsid w:val="00302811"/>
    <w:rsid w:val="00306FC4"/>
    <w:rsid w:val="00324333"/>
    <w:rsid w:val="00324714"/>
    <w:rsid w:val="00325F33"/>
    <w:rsid w:val="0033320C"/>
    <w:rsid w:val="00333C34"/>
    <w:rsid w:val="0034130B"/>
    <w:rsid w:val="003507A8"/>
    <w:rsid w:val="00371BB6"/>
    <w:rsid w:val="0037250A"/>
    <w:rsid w:val="00372776"/>
    <w:rsid w:val="00376EED"/>
    <w:rsid w:val="0038680E"/>
    <w:rsid w:val="003901E0"/>
    <w:rsid w:val="003A372D"/>
    <w:rsid w:val="003A448F"/>
    <w:rsid w:val="003B0569"/>
    <w:rsid w:val="003B30E4"/>
    <w:rsid w:val="003C6B4E"/>
    <w:rsid w:val="003D7E35"/>
    <w:rsid w:val="003E32AF"/>
    <w:rsid w:val="003E4979"/>
    <w:rsid w:val="003F4352"/>
    <w:rsid w:val="00401BE5"/>
    <w:rsid w:val="00404DFA"/>
    <w:rsid w:val="0041100B"/>
    <w:rsid w:val="0043193C"/>
    <w:rsid w:val="0043381C"/>
    <w:rsid w:val="00437E39"/>
    <w:rsid w:val="004537BC"/>
    <w:rsid w:val="00462D4D"/>
    <w:rsid w:val="00464059"/>
    <w:rsid w:val="00465480"/>
    <w:rsid w:val="004715CF"/>
    <w:rsid w:val="00473ADC"/>
    <w:rsid w:val="00480ED4"/>
    <w:rsid w:val="00491DE4"/>
    <w:rsid w:val="0049411F"/>
    <w:rsid w:val="004A462D"/>
    <w:rsid w:val="004A6883"/>
    <w:rsid w:val="004B48F4"/>
    <w:rsid w:val="004B606C"/>
    <w:rsid w:val="004B7D0E"/>
    <w:rsid w:val="004D10C6"/>
    <w:rsid w:val="004D7180"/>
    <w:rsid w:val="004E152A"/>
    <w:rsid w:val="004E3AC9"/>
    <w:rsid w:val="004E4027"/>
    <w:rsid w:val="004E601F"/>
    <w:rsid w:val="004F258A"/>
    <w:rsid w:val="004F3078"/>
    <w:rsid w:val="00501EEE"/>
    <w:rsid w:val="00511F82"/>
    <w:rsid w:val="005124E5"/>
    <w:rsid w:val="00524092"/>
    <w:rsid w:val="005250D1"/>
    <w:rsid w:val="00532ACD"/>
    <w:rsid w:val="00546D17"/>
    <w:rsid w:val="00582162"/>
    <w:rsid w:val="00586635"/>
    <w:rsid w:val="00586E94"/>
    <w:rsid w:val="0059212B"/>
    <w:rsid w:val="00592D87"/>
    <w:rsid w:val="00593AA9"/>
    <w:rsid w:val="00597CA8"/>
    <w:rsid w:val="005A1F12"/>
    <w:rsid w:val="005B69CA"/>
    <w:rsid w:val="005C2E65"/>
    <w:rsid w:val="005D28B2"/>
    <w:rsid w:val="005D4B8C"/>
    <w:rsid w:val="005D50A5"/>
    <w:rsid w:val="005D5FB4"/>
    <w:rsid w:val="005E0F14"/>
    <w:rsid w:val="005E41CD"/>
    <w:rsid w:val="005F0E64"/>
    <w:rsid w:val="005F2DC8"/>
    <w:rsid w:val="005F42C2"/>
    <w:rsid w:val="005F55C3"/>
    <w:rsid w:val="00601E26"/>
    <w:rsid w:val="00602502"/>
    <w:rsid w:val="0060763B"/>
    <w:rsid w:val="00613FC8"/>
    <w:rsid w:val="00621093"/>
    <w:rsid w:val="00621694"/>
    <w:rsid w:val="0062303A"/>
    <w:rsid w:val="006319E7"/>
    <w:rsid w:val="00634016"/>
    <w:rsid w:val="0063496D"/>
    <w:rsid w:val="00636D6B"/>
    <w:rsid w:val="00640D3B"/>
    <w:rsid w:val="006451AF"/>
    <w:rsid w:val="00646A68"/>
    <w:rsid w:val="006565AA"/>
    <w:rsid w:val="00657A8B"/>
    <w:rsid w:val="006626F9"/>
    <w:rsid w:val="00665A6B"/>
    <w:rsid w:val="00670F7F"/>
    <w:rsid w:val="00677182"/>
    <w:rsid w:val="006A330F"/>
    <w:rsid w:val="006A3F75"/>
    <w:rsid w:val="006D2FDE"/>
    <w:rsid w:val="006D542B"/>
    <w:rsid w:val="006D5B73"/>
    <w:rsid w:val="006D5C32"/>
    <w:rsid w:val="006F068B"/>
    <w:rsid w:val="007014A4"/>
    <w:rsid w:val="00701FCE"/>
    <w:rsid w:val="0070577E"/>
    <w:rsid w:val="00705E9A"/>
    <w:rsid w:val="0071015A"/>
    <w:rsid w:val="00716598"/>
    <w:rsid w:val="00721C65"/>
    <w:rsid w:val="00723688"/>
    <w:rsid w:val="007249FA"/>
    <w:rsid w:val="00733AC9"/>
    <w:rsid w:val="00733D51"/>
    <w:rsid w:val="00734C47"/>
    <w:rsid w:val="0076251B"/>
    <w:rsid w:val="00770040"/>
    <w:rsid w:val="00772F20"/>
    <w:rsid w:val="00774CA3"/>
    <w:rsid w:val="00794728"/>
    <w:rsid w:val="00794C93"/>
    <w:rsid w:val="00797E5E"/>
    <w:rsid w:val="007A0095"/>
    <w:rsid w:val="007B4F85"/>
    <w:rsid w:val="007D3320"/>
    <w:rsid w:val="007D3A40"/>
    <w:rsid w:val="007E6ABC"/>
    <w:rsid w:val="00802CCF"/>
    <w:rsid w:val="00804619"/>
    <w:rsid w:val="0080757E"/>
    <w:rsid w:val="0081031B"/>
    <w:rsid w:val="00826908"/>
    <w:rsid w:val="0083061D"/>
    <w:rsid w:val="00847E66"/>
    <w:rsid w:val="00855DC5"/>
    <w:rsid w:val="008727D1"/>
    <w:rsid w:val="00875CB7"/>
    <w:rsid w:val="00880EEF"/>
    <w:rsid w:val="00883ABE"/>
    <w:rsid w:val="00885C04"/>
    <w:rsid w:val="00886895"/>
    <w:rsid w:val="008A0015"/>
    <w:rsid w:val="008A4A59"/>
    <w:rsid w:val="008A658B"/>
    <w:rsid w:val="008C3DC9"/>
    <w:rsid w:val="008D1745"/>
    <w:rsid w:val="008E13D0"/>
    <w:rsid w:val="008E3F07"/>
    <w:rsid w:val="008E5183"/>
    <w:rsid w:val="008E56FE"/>
    <w:rsid w:val="008E7BEF"/>
    <w:rsid w:val="008F0949"/>
    <w:rsid w:val="008F217F"/>
    <w:rsid w:val="009065C3"/>
    <w:rsid w:val="0091023E"/>
    <w:rsid w:val="00910833"/>
    <w:rsid w:val="00922460"/>
    <w:rsid w:val="00923DFE"/>
    <w:rsid w:val="009317EB"/>
    <w:rsid w:val="00933C6D"/>
    <w:rsid w:val="00943723"/>
    <w:rsid w:val="00950946"/>
    <w:rsid w:val="009551C1"/>
    <w:rsid w:val="00965F4C"/>
    <w:rsid w:val="0097063B"/>
    <w:rsid w:val="00971639"/>
    <w:rsid w:val="0098369E"/>
    <w:rsid w:val="009959A4"/>
    <w:rsid w:val="009A25F3"/>
    <w:rsid w:val="009A477A"/>
    <w:rsid w:val="009A5F14"/>
    <w:rsid w:val="009A7839"/>
    <w:rsid w:val="009B5127"/>
    <w:rsid w:val="009B59CE"/>
    <w:rsid w:val="009C1722"/>
    <w:rsid w:val="009C2739"/>
    <w:rsid w:val="009D6223"/>
    <w:rsid w:val="009D7B4F"/>
    <w:rsid w:val="009F5A1B"/>
    <w:rsid w:val="009F7736"/>
    <w:rsid w:val="00A07A92"/>
    <w:rsid w:val="00A104B0"/>
    <w:rsid w:val="00A134A4"/>
    <w:rsid w:val="00A2712D"/>
    <w:rsid w:val="00A32FE3"/>
    <w:rsid w:val="00A429D7"/>
    <w:rsid w:val="00A4532F"/>
    <w:rsid w:val="00A62C54"/>
    <w:rsid w:val="00A65185"/>
    <w:rsid w:val="00A65805"/>
    <w:rsid w:val="00A8055C"/>
    <w:rsid w:val="00AA43A5"/>
    <w:rsid w:val="00AB0F6F"/>
    <w:rsid w:val="00AB17D9"/>
    <w:rsid w:val="00AB32D6"/>
    <w:rsid w:val="00AB370B"/>
    <w:rsid w:val="00AC0AB1"/>
    <w:rsid w:val="00AC0ECC"/>
    <w:rsid w:val="00AC5026"/>
    <w:rsid w:val="00AD2454"/>
    <w:rsid w:val="00AD4B5E"/>
    <w:rsid w:val="00AE5017"/>
    <w:rsid w:val="00AF473D"/>
    <w:rsid w:val="00B01CA7"/>
    <w:rsid w:val="00B065F0"/>
    <w:rsid w:val="00B158E4"/>
    <w:rsid w:val="00B166B9"/>
    <w:rsid w:val="00B16C42"/>
    <w:rsid w:val="00B21199"/>
    <w:rsid w:val="00B212BC"/>
    <w:rsid w:val="00B234DB"/>
    <w:rsid w:val="00B32FB6"/>
    <w:rsid w:val="00B405D4"/>
    <w:rsid w:val="00B56011"/>
    <w:rsid w:val="00B63310"/>
    <w:rsid w:val="00B956A4"/>
    <w:rsid w:val="00BA07EE"/>
    <w:rsid w:val="00BA447B"/>
    <w:rsid w:val="00BA5A11"/>
    <w:rsid w:val="00BB2168"/>
    <w:rsid w:val="00BB61B4"/>
    <w:rsid w:val="00BB7B35"/>
    <w:rsid w:val="00BC1A48"/>
    <w:rsid w:val="00BC43B5"/>
    <w:rsid w:val="00BC4CCD"/>
    <w:rsid w:val="00BD4A49"/>
    <w:rsid w:val="00BD4B0D"/>
    <w:rsid w:val="00BE2A11"/>
    <w:rsid w:val="00BE53C7"/>
    <w:rsid w:val="00BE736E"/>
    <w:rsid w:val="00BF198A"/>
    <w:rsid w:val="00BF3722"/>
    <w:rsid w:val="00BF5D21"/>
    <w:rsid w:val="00BF5F6B"/>
    <w:rsid w:val="00C03678"/>
    <w:rsid w:val="00C042C0"/>
    <w:rsid w:val="00C2339C"/>
    <w:rsid w:val="00C239A8"/>
    <w:rsid w:val="00C333D9"/>
    <w:rsid w:val="00C548F4"/>
    <w:rsid w:val="00C7688A"/>
    <w:rsid w:val="00C83EE2"/>
    <w:rsid w:val="00C92A53"/>
    <w:rsid w:val="00CA6F06"/>
    <w:rsid w:val="00CB116F"/>
    <w:rsid w:val="00CB7541"/>
    <w:rsid w:val="00CC19EE"/>
    <w:rsid w:val="00CC364E"/>
    <w:rsid w:val="00CD3FAB"/>
    <w:rsid w:val="00CD6323"/>
    <w:rsid w:val="00CF16C8"/>
    <w:rsid w:val="00CF3AEA"/>
    <w:rsid w:val="00D015EC"/>
    <w:rsid w:val="00D036F7"/>
    <w:rsid w:val="00D04DAD"/>
    <w:rsid w:val="00D24AF1"/>
    <w:rsid w:val="00D24C19"/>
    <w:rsid w:val="00D30E23"/>
    <w:rsid w:val="00D3159C"/>
    <w:rsid w:val="00D36F6E"/>
    <w:rsid w:val="00D42DBA"/>
    <w:rsid w:val="00D437B0"/>
    <w:rsid w:val="00D478F4"/>
    <w:rsid w:val="00D54BB9"/>
    <w:rsid w:val="00D62714"/>
    <w:rsid w:val="00D63E32"/>
    <w:rsid w:val="00D76A32"/>
    <w:rsid w:val="00D76E2D"/>
    <w:rsid w:val="00D776EC"/>
    <w:rsid w:val="00D77B08"/>
    <w:rsid w:val="00D853AD"/>
    <w:rsid w:val="00D92B28"/>
    <w:rsid w:val="00DA7A73"/>
    <w:rsid w:val="00DB0394"/>
    <w:rsid w:val="00DB719D"/>
    <w:rsid w:val="00DB770C"/>
    <w:rsid w:val="00DC2BD5"/>
    <w:rsid w:val="00DC6BA8"/>
    <w:rsid w:val="00DD5B00"/>
    <w:rsid w:val="00DD6D23"/>
    <w:rsid w:val="00DE5080"/>
    <w:rsid w:val="00E03C7F"/>
    <w:rsid w:val="00E1223E"/>
    <w:rsid w:val="00E45CC5"/>
    <w:rsid w:val="00E507C7"/>
    <w:rsid w:val="00E51918"/>
    <w:rsid w:val="00E54643"/>
    <w:rsid w:val="00E64FAF"/>
    <w:rsid w:val="00E7376D"/>
    <w:rsid w:val="00E8343A"/>
    <w:rsid w:val="00E93E85"/>
    <w:rsid w:val="00EB2A16"/>
    <w:rsid w:val="00EC0B1E"/>
    <w:rsid w:val="00EC0F0D"/>
    <w:rsid w:val="00EC2A22"/>
    <w:rsid w:val="00EC57B7"/>
    <w:rsid w:val="00EE2056"/>
    <w:rsid w:val="00EE22AC"/>
    <w:rsid w:val="00EE2838"/>
    <w:rsid w:val="00EF288D"/>
    <w:rsid w:val="00F00AE4"/>
    <w:rsid w:val="00F01C7B"/>
    <w:rsid w:val="00F025F0"/>
    <w:rsid w:val="00F061BB"/>
    <w:rsid w:val="00F13116"/>
    <w:rsid w:val="00F17E38"/>
    <w:rsid w:val="00F238F0"/>
    <w:rsid w:val="00F33B9E"/>
    <w:rsid w:val="00F444DF"/>
    <w:rsid w:val="00F471A3"/>
    <w:rsid w:val="00F57A21"/>
    <w:rsid w:val="00F70058"/>
    <w:rsid w:val="00F718E5"/>
    <w:rsid w:val="00F8204B"/>
    <w:rsid w:val="00F92753"/>
    <w:rsid w:val="00F92C6F"/>
    <w:rsid w:val="00F96FBC"/>
    <w:rsid w:val="00F97E0C"/>
    <w:rsid w:val="00FA20B2"/>
    <w:rsid w:val="00FA3D19"/>
    <w:rsid w:val="00FA62F1"/>
    <w:rsid w:val="00FB1FE9"/>
    <w:rsid w:val="00FB2C5F"/>
    <w:rsid w:val="00FC0A42"/>
    <w:rsid w:val="00FD1310"/>
    <w:rsid w:val="00FD228A"/>
    <w:rsid w:val="00FD5F6D"/>
    <w:rsid w:val="00FE03AD"/>
    <w:rsid w:val="00FE5446"/>
    <w:rsid w:val="00FF103F"/>
    <w:rsid w:val="00FF667A"/>
    <w:rsid w:val="00FF7DE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82AA3E"/>
  <w15:docId w15:val="{7D9B491C-B44D-4E7D-96B2-CE58B5D40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2712D"/>
    <w:pPr>
      <w:spacing w:after="120" w:line="360" w:lineRule="auto"/>
      <w:ind w:firstLine="360"/>
    </w:pPr>
    <w:rPr>
      <w:sz w:val="24"/>
      <w:lang w:val="en-CA"/>
    </w:rPr>
  </w:style>
  <w:style w:type="paragraph" w:styleId="Heading1">
    <w:name w:val="heading 1"/>
    <w:basedOn w:val="Normal"/>
    <w:next w:val="Normal"/>
    <w:qFormat/>
    <w:rsid w:val="00A2712D"/>
    <w:pPr>
      <w:keepNext/>
      <w:spacing w:before="120" w:after="60"/>
      <w:ind w:firstLine="0"/>
      <w:outlineLvl w:val="0"/>
    </w:pPr>
    <w:rPr>
      <w:b/>
      <w:kern w:val="28"/>
      <w:sz w:val="28"/>
    </w:rPr>
  </w:style>
  <w:style w:type="paragraph" w:styleId="Heading2">
    <w:name w:val="heading 2"/>
    <w:basedOn w:val="Normal"/>
    <w:next w:val="Normal"/>
    <w:qFormat/>
    <w:rsid w:val="00BE53C7"/>
    <w:pPr>
      <w:keepNext/>
      <w:spacing w:before="120" w:after="60"/>
      <w:ind w:firstLine="0"/>
      <w:outlineLvl w:val="1"/>
    </w:pPr>
    <w:rPr>
      <w:b/>
      <w:i/>
      <w:sz w:val="28"/>
    </w:rPr>
  </w:style>
  <w:style w:type="paragraph" w:styleId="Heading3">
    <w:name w:val="heading 3"/>
    <w:basedOn w:val="Normal"/>
    <w:next w:val="Normal"/>
    <w:qFormat/>
    <w:rsid w:val="00BE53C7"/>
    <w:pPr>
      <w:keepNext/>
      <w:spacing w:before="120" w:after="60"/>
      <w:ind w:left="360" w:firstLine="0"/>
      <w:outlineLvl w:val="2"/>
    </w:pPr>
    <w:rPr>
      <w:b/>
    </w:rPr>
  </w:style>
  <w:style w:type="paragraph" w:styleId="Heading4">
    <w:name w:val="heading 4"/>
    <w:basedOn w:val="Normal"/>
    <w:next w:val="Normal"/>
    <w:qFormat/>
    <w:rsid w:val="00BE53C7"/>
    <w:pPr>
      <w:keepNext/>
      <w:spacing w:before="120" w:after="60"/>
      <w:ind w:left="360" w:firstLine="0"/>
      <w:outlineLvl w:val="3"/>
    </w:pPr>
    <w:rPr>
      <w:b/>
      <w:i/>
    </w:rPr>
  </w:style>
  <w:style w:type="paragraph" w:styleId="Heading5">
    <w:name w:val="heading 5"/>
    <w:basedOn w:val="Normal"/>
    <w:next w:val="Normal"/>
    <w:qFormat/>
    <w:rsid w:val="00BE53C7"/>
    <w:pPr>
      <w:keepNext/>
      <w:spacing w:before="120" w:after="60"/>
      <w:ind w:left="360" w:firstLine="0"/>
      <w:outlineLvl w:val="4"/>
    </w:pPr>
  </w:style>
  <w:style w:type="paragraph" w:styleId="Heading6">
    <w:name w:val="heading 6"/>
    <w:basedOn w:val="Normal"/>
    <w:next w:val="Normal"/>
    <w:qFormat/>
    <w:rsid w:val="00BE53C7"/>
    <w:pPr>
      <w:spacing w:before="120" w:after="60"/>
      <w:ind w:left="360" w:firstLine="0"/>
      <w:outlineLvl w:val="5"/>
    </w:pPr>
    <w:rPr>
      <w:bCs/>
      <w: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24092"/>
    <w:pPr>
      <w:tabs>
        <w:tab w:val="center" w:pos="4680"/>
        <w:tab w:val="right" w:pos="9360"/>
      </w:tabs>
      <w:spacing w:after="0" w:line="240" w:lineRule="auto"/>
      <w:ind w:firstLine="0"/>
    </w:pPr>
    <w:rPr>
      <w:rFonts w:ascii="Arial" w:hAnsi="Arial"/>
      <w:sz w:val="18"/>
    </w:rPr>
  </w:style>
  <w:style w:type="paragraph" w:styleId="Footer">
    <w:name w:val="footer"/>
    <w:basedOn w:val="Normal"/>
    <w:link w:val="FooterChar"/>
    <w:semiHidden/>
    <w:rsid w:val="00524092"/>
    <w:pPr>
      <w:tabs>
        <w:tab w:val="center" w:pos="4680"/>
        <w:tab w:val="right" w:pos="9360"/>
      </w:tabs>
      <w:spacing w:after="0" w:line="240" w:lineRule="auto"/>
      <w:ind w:firstLine="0"/>
    </w:pPr>
    <w:rPr>
      <w:rFonts w:ascii="Arial" w:hAnsi="Arial"/>
      <w:sz w:val="18"/>
    </w:rPr>
  </w:style>
  <w:style w:type="paragraph" w:styleId="Title">
    <w:name w:val="Title"/>
    <w:basedOn w:val="Normal"/>
    <w:next w:val="Authors"/>
    <w:qFormat/>
    <w:rsid w:val="00B158E4"/>
    <w:pPr>
      <w:ind w:firstLine="0"/>
      <w:jc w:val="center"/>
      <w:outlineLvl w:val="0"/>
    </w:pPr>
    <w:rPr>
      <w:b/>
      <w:kern w:val="28"/>
      <w:sz w:val="28"/>
    </w:rPr>
  </w:style>
  <w:style w:type="paragraph" w:customStyle="1" w:styleId="Authors">
    <w:name w:val="Authors"/>
    <w:basedOn w:val="Title"/>
    <w:next w:val="Address"/>
    <w:rsid w:val="00B158E4"/>
    <w:pPr>
      <w:outlineLvl w:val="9"/>
    </w:pPr>
    <w:rPr>
      <w:b w:val="0"/>
    </w:rPr>
  </w:style>
  <w:style w:type="paragraph" w:customStyle="1" w:styleId="Address">
    <w:name w:val="Address"/>
    <w:basedOn w:val="Authors"/>
    <w:rsid w:val="00B158E4"/>
    <w:pPr>
      <w:jc w:val="left"/>
    </w:pPr>
    <w:rPr>
      <w:sz w:val="20"/>
    </w:rPr>
  </w:style>
  <w:style w:type="paragraph" w:customStyle="1" w:styleId="References">
    <w:name w:val="References"/>
    <w:basedOn w:val="Normal"/>
    <w:rsid w:val="00B158E4"/>
    <w:pPr>
      <w:ind w:left="360" w:hanging="360"/>
    </w:pPr>
  </w:style>
  <w:style w:type="paragraph" w:customStyle="1" w:styleId="Reccitation">
    <w:name w:val="Rec. citation"/>
    <w:basedOn w:val="Normal"/>
    <w:rsid w:val="00A2712D"/>
    <w:pPr>
      <w:pBdr>
        <w:top w:val="single" w:sz="4" w:space="1" w:color="auto"/>
      </w:pBdr>
      <w:spacing w:after="240"/>
      <w:ind w:firstLine="0"/>
    </w:pPr>
    <w:rPr>
      <w:sz w:val="20"/>
    </w:rPr>
  </w:style>
  <w:style w:type="character" w:styleId="CommentReference">
    <w:name w:val="annotation reference"/>
    <w:basedOn w:val="DefaultParagraphFont"/>
    <w:semiHidden/>
    <w:rsid w:val="00B158E4"/>
    <w:rPr>
      <w:sz w:val="16"/>
      <w:szCs w:val="16"/>
    </w:rPr>
  </w:style>
  <w:style w:type="paragraph" w:styleId="ListBullet">
    <w:name w:val="List Bullet"/>
    <w:basedOn w:val="Normal"/>
    <w:rsid w:val="00302811"/>
    <w:pPr>
      <w:numPr>
        <w:numId w:val="3"/>
      </w:numPr>
      <w:spacing w:after="0"/>
    </w:pPr>
  </w:style>
  <w:style w:type="paragraph" w:styleId="ListNumber">
    <w:name w:val="List Number"/>
    <w:basedOn w:val="Normal"/>
    <w:rsid w:val="00BA07EE"/>
    <w:pPr>
      <w:numPr>
        <w:numId w:val="4"/>
      </w:numPr>
      <w:spacing w:after="0"/>
    </w:pPr>
  </w:style>
  <w:style w:type="paragraph" w:styleId="Caption">
    <w:name w:val="caption"/>
    <w:basedOn w:val="Normal"/>
    <w:next w:val="Normal"/>
    <w:qFormat/>
    <w:rsid w:val="001B0B9A"/>
    <w:pPr>
      <w:spacing w:before="240" w:after="240"/>
      <w:ind w:firstLine="0"/>
    </w:pPr>
    <w:rPr>
      <w:rFonts w:ascii="Arial" w:hAnsi="Arial"/>
      <w:bCs/>
      <w:i/>
      <w:sz w:val="20"/>
    </w:rPr>
  </w:style>
  <w:style w:type="paragraph" w:styleId="DocumentMap">
    <w:name w:val="Document Map"/>
    <w:basedOn w:val="Normal"/>
    <w:semiHidden/>
    <w:rsid w:val="00F33B9E"/>
    <w:pPr>
      <w:shd w:val="clear" w:color="auto" w:fill="000080"/>
    </w:pPr>
    <w:rPr>
      <w:rFonts w:ascii="Tahoma" w:hAnsi="Tahoma" w:cs="Tahoma"/>
      <w:sz w:val="20"/>
    </w:rPr>
  </w:style>
  <w:style w:type="paragraph" w:styleId="ListBullet2">
    <w:name w:val="List Bullet 2"/>
    <w:basedOn w:val="Normal"/>
    <w:rsid w:val="00302811"/>
    <w:pPr>
      <w:numPr>
        <w:numId w:val="5"/>
      </w:numPr>
      <w:spacing w:after="0"/>
    </w:pPr>
  </w:style>
  <w:style w:type="paragraph" w:styleId="FootnoteText">
    <w:name w:val="footnote text"/>
    <w:basedOn w:val="Normal"/>
    <w:semiHidden/>
    <w:rsid w:val="00B158E4"/>
    <w:rPr>
      <w:sz w:val="20"/>
    </w:rPr>
  </w:style>
  <w:style w:type="paragraph" w:styleId="ListNumber2">
    <w:name w:val="List Number 2"/>
    <w:basedOn w:val="Normal"/>
    <w:rsid w:val="00BA07EE"/>
    <w:pPr>
      <w:numPr>
        <w:numId w:val="6"/>
      </w:numPr>
      <w:spacing w:after="0"/>
    </w:pPr>
  </w:style>
  <w:style w:type="paragraph" w:customStyle="1" w:styleId="ListBulletLastItem">
    <w:name w:val="List Bullet (Last Item)"/>
    <w:basedOn w:val="ListBullet"/>
    <w:rsid w:val="00302811"/>
    <w:pPr>
      <w:spacing w:after="120"/>
    </w:pPr>
  </w:style>
  <w:style w:type="paragraph" w:customStyle="1" w:styleId="ListBullet2LastItem">
    <w:name w:val="List Bullet 2 (Last Item)"/>
    <w:basedOn w:val="ListBullet2"/>
    <w:rsid w:val="00BA07EE"/>
    <w:pPr>
      <w:spacing w:after="120"/>
    </w:pPr>
  </w:style>
  <w:style w:type="paragraph" w:customStyle="1" w:styleId="ListNumberLastItem">
    <w:name w:val="List Number (Last Item)"/>
    <w:basedOn w:val="ListNumber"/>
    <w:rsid w:val="00BA07EE"/>
    <w:pPr>
      <w:spacing w:after="120"/>
    </w:pPr>
  </w:style>
  <w:style w:type="paragraph" w:customStyle="1" w:styleId="ListNumber2LastItem">
    <w:name w:val="List Number 2 (Last Item)"/>
    <w:basedOn w:val="ListNumber2"/>
    <w:rsid w:val="00BA07EE"/>
    <w:pPr>
      <w:spacing w:after="120"/>
    </w:pPr>
  </w:style>
  <w:style w:type="paragraph" w:customStyle="1" w:styleId="NormalNoIndent">
    <w:name w:val="Normal (No Indent)"/>
    <w:basedOn w:val="Normal"/>
    <w:rsid w:val="009C1722"/>
    <w:pPr>
      <w:ind w:firstLine="0"/>
    </w:pPr>
  </w:style>
  <w:style w:type="paragraph" w:styleId="TOC1">
    <w:name w:val="toc 1"/>
    <w:basedOn w:val="Normal"/>
    <w:next w:val="Normal"/>
    <w:autoRedefine/>
    <w:semiHidden/>
    <w:rsid w:val="00532ACD"/>
    <w:pPr>
      <w:tabs>
        <w:tab w:val="right" w:leader="dot" w:pos="9350"/>
      </w:tabs>
      <w:ind w:firstLine="0"/>
    </w:pPr>
  </w:style>
  <w:style w:type="paragraph" w:styleId="TOC2">
    <w:name w:val="toc 2"/>
    <w:basedOn w:val="Normal"/>
    <w:next w:val="Normal"/>
    <w:autoRedefine/>
    <w:semiHidden/>
    <w:rsid w:val="00532ACD"/>
    <w:pPr>
      <w:tabs>
        <w:tab w:val="right" w:leader="dot" w:pos="9350"/>
      </w:tabs>
      <w:ind w:left="360" w:firstLine="0"/>
    </w:pPr>
  </w:style>
  <w:style w:type="paragraph" w:styleId="TOC3">
    <w:name w:val="toc 3"/>
    <w:basedOn w:val="Normal"/>
    <w:next w:val="Normal"/>
    <w:autoRedefine/>
    <w:semiHidden/>
    <w:rsid w:val="00532ACD"/>
    <w:pPr>
      <w:tabs>
        <w:tab w:val="right" w:leader="dot" w:pos="9350"/>
      </w:tabs>
      <w:ind w:left="720" w:firstLine="0"/>
    </w:pPr>
  </w:style>
  <w:style w:type="paragraph" w:styleId="TOC4">
    <w:name w:val="toc 4"/>
    <w:basedOn w:val="Normal"/>
    <w:next w:val="Normal"/>
    <w:autoRedefine/>
    <w:semiHidden/>
    <w:rsid w:val="00532ACD"/>
    <w:pPr>
      <w:ind w:left="1080" w:firstLine="0"/>
    </w:pPr>
  </w:style>
  <w:style w:type="paragraph" w:customStyle="1" w:styleId="NormalNoIndent0">
    <w:name w:val="Normal (No Indent"/>
    <w:aliases w:val="No Space After)"/>
    <w:basedOn w:val="NormalNoIndent"/>
    <w:rsid w:val="00216D65"/>
    <w:pPr>
      <w:spacing w:after="0"/>
    </w:pPr>
  </w:style>
  <w:style w:type="paragraph" w:customStyle="1" w:styleId="NormalNoSpaceAfter">
    <w:name w:val="Normal (No Space After)"/>
    <w:basedOn w:val="Normal"/>
    <w:rsid w:val="00FA62F1"/>
    <w:pPr>
      <w:spacing w:after="0"/>
    </w:pPr>
  </w:style>
  <w:style w:type="character" w:styleId="Hyperlink">
    <w:name w:val="Hyperlink"/>
    <w:basedOn w:val="DefaultParagraphFont"/>
    <w:rsid w:val="00F33B9E"/>
    <w:rPr>
      <w:color w:val="0000FF"/>
      <w:u w:val="single"/>
    </w:rPr>
  </w:style>
  <w:style w:type="paragraph" w:styleId="TableofFigures">
    <w:name w:val="table of figures"/>
    <w:basedOn w:val="Normal"/>
    <w:next w:val="Normal"/>
    <w:semiHidden/>
    <w:rsid w:val="00F33B9E"/>
    <w:pPr>
      <w:ind w:firstLine="0"/>
    </w:pPr>
  </w:style>
  <w:style w:type="paragraph" w:styleId="CommentText">
    <w:name w:val="annotation text"/>
    <w:basedOn w:val="Normal"/>
    <w:link w:val="CommentTextChar"/>
    <w:semiHidden/>
    <w:rsid w:val="00597CA8"/>
    <w:rPr>
      <w:rFonts w:ascii="Arial" w:hAnsi="Arial"/>
      <w:sz w:val="20"/>
    </w:rPr>
  </w:style>
  <w:style w:type="paragraph" w:styleId="Closing">
    <w:name w:val="Closing"/>
    <w:basedOn w:val="Normal"/>
    <w:semiHidden/>
    <w:rsid w:val="00597CA8"/>
    <w:pPr>
      <w:ind w:left="4320"/>
    </w:pPr>
  </w:style>
  <w:style w:type="paragraph" w:customStyle="1" w:styleId="Footnote">
    <w:name w:val="Footnote"/>
    <w:basedOn w:val="Normal"/>
    <w:next w:val="Normal"/>
    <w:rsid w:val="0059212B"/>
    <w:pPr>
      <w:spacing w:after="200"/>
      <w:ind w:left="86" w:hanging="86"/>
    </w:pPr>
    <w:rPr>
      <w:sz w:val="20"/>
    </w:rPr>
  </w:style>
  <w:style w:type="paragraph" w:customStyle="1" w:styleId="Equation">
    <w:name w:val="Equation"/>
    <w:basedOn w:val="Normal"/>
    <w:next w:val="NormalNoIndent"/>
    <w:rsid w:val="00DD6D23"/>
    <w:pPr>
      <w:tabs>
        <w:tab w:val="right" w:pos="9360"/>
      </w:tabs>
      <w:ind w:firstLine="0"/>
    </w:pPr>
    <w:rPr>
      <w:rFonts w:ascii="Arial" w:hAnsi="Arial"/>
      <w:sz w:val="20"/>
    </w:rPr>
  </w:style>
  <w:style w:type="paragraph" w:customStyle="1" w:styleId="Quotation">
    <w:name w:val="Quotation"/>
    <w:basedOn w:val="Normal"/>
    <w:next w:val="Normal"/>
    <w:rsid w:val="00DD6D23"/>
    <w:pPr>
      <w:ind w:left="360" w:right="360" w:firstLine="0"/>
    </w:pPr>
    <w:rPr>
      <w:i/>
      <w:sz w:val="22"/>
    </w:rPr>
  </w:style>
  <w:style w:type="paragraph" w:styleId="BalloonText">
    <w:name w:val="Balloon Text"/>
    <w:basedOn w:val="Normal"/>
    <w:link w:val="BalloonTextChar"/>
    <w:rsid w:val="00BF19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BF198A"/>
    <w:rPr>
      <w:rFonts w:ascii="Tahoma" w:hAnsi="Tahoma" w:cs="Tahoma"/>
      <w:sz w:val="16"/>
      <w:szCs w:val="16"/>
      <w:lang w:val="en-CA"/>
    </w:rPr>
  </w:style>
  <w:style w:type="paragraph" w:styleId="CommentSubject">
    <w:name w:val="annotation subject"/>
    <w:basedOn w:val="CommentText"/>
    <w:next w:val="CommentText"/>
    <w:link w:val="CommentSubjectChar"/>
    <w:rsid w:val="00BF198A"/>
    <w:pPr>
      <w:spacing w:line="240" w:lineRule="auto"/>
    </w:pPr>
    <w:rPr>
      <w:rFonts w:ascii="Times New Roman" w:hAnsi="Times New Roman"/>
      <w:b/>
      <w:bCs/>
    </w:rPr>
  </w:style>
  <w:style w:type="character" w:customStyle="1" w:styleId="CommentTextChar">
    <w:name w:val="Comment Text Char"/>
    <w:basedOn w:val="DefaultParagraphFont"/>
    <w:link w:val="CommentText"/>
    <w:semiHidden/>
    <w:rsid w:val="00BF198A"/>
    <w:rPr>
      <w:rFonts w:ascii="Arial" w:hAnsi="Arial"/>
      <w:lang w:val="en-CA"/>
    </w:rPr>
  </w:style>
  <w:style w:type="character" w:customStyle="1" w:styleId="CommentSubjectChar">
    <w:name w:val="Comment Subject Char"/>
    <w:basedOn w:val="CommentTextChar"/>
    <w:link w:val="CommentSubject"/>
    <w:rsid w:val="00BF198A"/>
    <w:rPr>
      <w:rFonts w:ascii="Arial" w:hAnsi="Arial"/>
      <w:lang w:val="en-CA"/>
    </w:rPr>
  </w:style>
  <w:style w:type="character" w:customStyle="1" w:styleId="FooterChar">
    <w:name w:val="Footer Char"/>
    <w:basedOn w:val="DefaultParagraphFont"/>
    <w:link w:val="Footer"/>
    <w:semiHidden/>
    <w:rsid w:val="003A372D"/>
    <w:rPr>
      <w:rFonts w:ascii="Arial" w:hAnsi="Arial"/>
      <w:sz w:val="18"/>
      <w:lang w:val="en-CA"/>
    </w:rPr>
  </w:style>
  <w:style w:type="paragraph" w:styleId="Revision">
    <w:name w:val="Revision"/>
    <w:hidden/>
    <w:uiPriority w:val="99"/>
    <w:semiHidden/>
    <w:rsid w:val="009A25F3"/>
    <w:rPr>
      <w:sz w:val="24"/>
      <w:lang w:val="en-CA"/>
    </w:rPr>
  </w:style>
  <w:style w:type="character" w:customStyle="1" w:styleId="UnresolvedMention1">
    <w:name w:val="Unresolved Mention1"/>
    <w:basedOn w:val="DefaultParagraphFont"/>
    <w:uiPriority w:val="99"/>
    <w:semiHidden/>
    <w:unhideWhenUsed/>
    <w:rsid w:val="00601E26"/>
    <w:rPr>
      <w:color w:val="605E5C"/>
      <w:shd w:val="clear" w:color="auto" w:fill="E1DFDD"/>
    </w:rPr>
  </w:style>
  <w:style w:type="character" w:customStyle="1" w:styleId="HeaderChar">
    <w:name w:val="Header Char"/>
    <w:basedOn w:val="DefaultParagraphFont"/>
    <w:link w:val="Header"/>
    <w:uiPriority w:val="99"/>
    <w:rsid w:val="00EC0B1E"/>
    <w:rPr>
      <w:rFonts w:ascii="Arial" w:hAnsi="Arial"/>
      <w:sz w:val="18"/>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god.symposium2026@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60D3C3-F87E-4908-A94F-73F4C994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1412</TotalTime>
  <Pages>3</Pages>
  <Words>1339</Words>
  <Characters>7607</Characters>
  <Application>Microsoft Office Word</Application>
  <DocSecurity>0</DocSecurity>
  <Lines>117</Lines>
  <Paragraphs>47</Paragraphs>
  <ScaleCrop>false</ScaleCrop>
  <HeadingPairs>
    <vt:vector size="2" baseType="variant">
      <vt:variant>
        <vt:lpstr>Title</vt:lpstr>
      </vt:variant>
      <vt:variant>
        <vt:i4>1</vt:i4>
      </vt:variant>
    </vt:vector>
  </HeadingPairs>
  <TitlesOfParts>
    <vt:vector size="1" baseType="lpstr">
      <vt:lpstr>MGS RofA2018 Template</vt:lpstr>
    </vt:vector>
  </TitlesOfParts>
  <Company>Hewlett-Packard Company</Company>
  <LinksUpToDate>false</LinksUpToDate>
  <CharactersWithSpaces>8899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MGS RofA2018 Template</dc:title>
  <dc:creator>Bob Davie</dc:creator>
  <cp:lastModifiedBy>Martins, Tania</cp:lastModifiedBy>
  <cp:revision>7</cp:revision>
  <cp:lastPrinted>2008-02-14T14:37:00Z</cp:lastPrinted>
  <dcterms:created xsi:type="dcterms:W3CDTF">2025-09-15T16:31:00Z</dcterms:created>
  <dcterms:modified xsi:type="dcterms:W3CDTF">2025-11-18T22:25:00Z</dcterms:modified>
</cp:coreProperties>
</file>